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57C26" w:rsidP="00557C26" w:rsidRDefault="00557C26" w14:paraId="7313B196" w14:textId="0E73A825">
      <w:pPr>
        <w:pStyle w:val="KeinLeerraum"/>
        <w:ind w:start="360"/>
        <w:rPr>
          <w:b/>
          <w:sz w:val="36"/>
        </w:rPr>
      </w:pPr>
      <w:r>
        <w:rPr>
          <w:b/>
          <w:sz w:val="36"/>
        </w:rPr>
        <w:t xml:space="preserve">Information on </w:t>
      </w:r>
      <w:r w:rsidRPr="00273B58">
        <w:rPr>
          <w:b/>
          <w:sz w:val="36"/>
        </w:rPr>
        <w:t xml:space="preserve">pension equalisation </w:t>
      </w:r>
    </w:p>
    <w:p w:rsidR="00557C26" w:rsidP="00557C26" w:rsidRDefault="00557C26" w14:paraId="48D01DCA" w14:textId="77777777">
      <w:pPr>
        <w:pStyle w:val="KeinLeerraum"/>
        <w:ind w:start="360"/>
        <w:rPr>
          <w:b/>
          <w:sz w:val="21"/>
          <w:szCs w:val="21"/>
        </w:rPr>
      </w:pPr>
    </w:p>
    <w:p w:rsidR="00557C26" w:rsidP="00557C26" w:rsidRDefault="00557C26" w14:paraId="6F24F40E" w14:textId="03720901">
      <w:pPr>
        <w:pStyle w:val="KeinLeerraum"/>
        <w:ind w:start="360"/>
        <w:rPr>
          <w:b/>
          <w:sz w:val="21"/>
          <w:szCs w:val="21"/>
        </w:rPr>
      </w:pPr>
      <w:r w:rsidRPr="001B2D37">
        <w:rPr>
          <w:b/>
          <w:sz w:val="21"/>
          <w:szCs w:val="21"/>
        </w:rPr>
        <w:t xml:space="preserve">Preliminary remark</w:t>
      </w:r>
    </w:p>
    <w:p w:rsidR="00557C26" w:rsidP="00557C26" w:rsidRDefault="00557C26" w14:paraId="77B3BF02" w14:textId="77777777">
      <w:pPr>
        <w:pStyle w:val="KeinLeerraum"/>
        <w:ind w:start="360"/>
        <w:rPr>
          <w:b/>
          <w:sz w:val="21"/>
          <w:szCs w:val="21"/>
        </w:rPr>
      </w:pPr>
    </w:p>
    <w:p w:rsidR="00C50915" w:rsidP="00557C26" w:rsidRDefault="00557C26" w14:paraId="57E0493B" w14:textId="77777777">
      <w:pPr>
        <w:pStyle w:val="KeinLeerraum"/>
        <w:ind w:start="0" w:firstLine="0"/>
        <w:rPr>
          <w:bCs/>
          <w:sz w:val="21"/>
          <w:szCs w:val="21"/>
        </w:rPr>
      </w:pPr>
      <w:r w:rsidRPr="001B2D37">
        <w:rPr>
          <w:bCs/>
          <w:sz w:val="21"/>
          <w:szCs w:val="21"/>
        </w:rPr>
        <w:t xml:space="preserve">The "</w:t>
      </w:r>
      <w:r w:rsidRPr="001B2D37">
        <w:rPr>
          <w:bCs/>
          <w:i/>
          <w:iCs/>
          <w:sz w:val="21"/>
          <w:szCs w:val="21"/>
        </w:rPr>
        <w:t xml:space="preserve">Pension Equalisation Coffee Round</w:t>
      </w:r>
      <w:r w:rsidRPr="001B2D37">
        <w:rPr>
          <w:bCs/>
          <w:sz w:val="21"/>
          <w:szCs w:val="21"/>
        </w:rPr>
        <w:t xml:space="preserve">" </w:t>
      </w:r>
      <w:r>
        <w:rPr>
          <w:bCs/>
          <w:sz w:val="21"/>
          <w:szCs w:val="21"/>
        </w:rPr>
        <w:t xml:space="preserve">was launched by lawyer Jörn Hauß at the beginning of 2022. Since then, it has met </w:t>
      </w:r>
      <w:r w:rsidRPr="003D2706">
        <w:rPr>
          <w:bCs/>
          <w:sz w:val="21"/>
          <w:szCs w:val="21"/>
        </w:rPr>
        <w:t xml:space="preserve">regularly on the 1st and 3rd Wednesday of the month </w:t>
      </w:r>
      <w:r>
        <w:rPr>
          <w:bCs/>
          <w:sz w:val="21"/>
          <w:szCs w:val="21"/>
        </w:rPr>
        <w:t xml:space="preserve">as an exclusively online </w:t>
      </w:r>
      <w:r>
        <w:rPr>
          <w:bCs/>
          <w:sz w:val="21"/>
          <w:szCs w:val="21"/>
        </w:rPr>
        <w:t xml:space="preserve">exchange platform. All professions involved in pension equalisation, i.e. </w:t>
      </w:r>
      <w:r>
        <w:rPr>
          <w:bCs/>
          <w:sz w:val="21"/>
          <w:szCs w:val="21"/>
        </w:rPr>
        <w:t xml:space="preserve">lawyers</w:t>
      </w:r>
      <w:r>
        <w:rPr>
          <w:bCs/>
          <w:sz w:val="21"/>
          <w:szCs w:val="21"/>
        </w:rPr>
        <w:t xml:space="preserve">, judges</w:t>
      </w:r>
      <w:r>
        <w:rPr>
          <w:bCs/>
          <w:sz w:val="21"/>
          <w:szCs w:val="21"/>
        </w:rPr>
        <w:t xml:space="preserve">, </w:t>
      </w:r>
      <w:r>
        <w:rPr>
          <w:bCs/>
          <w:sz w:val="21"/>
          <w:szCs w:val="21"/>
        </w:rPr>
        <w:t xml:space="preserve">pension consultants</w:t>
      </w:r>
      <w:r>
        <w:rPr>
          <w:bCs/>
          <w:sz w:val="21"/>
          <w:szCs w:val="21"/>
        </w:rPr>
        <w:t xml:space="preserve">, actuaries </w:t>
      </w:r>
      <w:r>
        <w:rPr>
          <w:bCs/>
          <w:sz w:val="21"/>
          <w:szCs w:val="21"/>
        </w:rPr>
        <w:t xml:space="preserve">and employees of pension providers are involved. This list is not exhaustive. If you are interested in participating, please send an e-mail to: </w:t>
      </w:r>
    </w:p>
    <w:p w:rsidR="00557C26" w:rsidP="00557C26" w:rsidRDefault="00C50915" w14:paraId="45B3AEBB" w14:textId="41B25320">
      <w:pPr>
        <w:pStyle w:val="KeinLeerraum"/>
        <w:ind w:start="0" w:firstLine="0"/>
        <w:rPr>
          <w:bCs/>
          <w:sz w:val="21"/>
          <w:szCs w:val="21"/>
        </w:rPr>
      </w:pPr>
      <w:hyperlink w:history="1" r:id="rId6">
        <w:r w:rsidRPr="008D465F">
          <w:rPr>
            <w:rStyle w:val="Hyperlink"/>
            <w:bCs/>
            <w:sz w:val="21"/>
            <w:szCs w:val="21"/>
          </w:rPr>
          <w:t>hauss@anwaelte-du.de</w:t>
        </w:r>
      </w:hyperlink>
    </w:p>
    <w:p w:rsidR="00557C26" w:rsidP="00557C26" w:rsidRDefault="00557C26" w14:paraId="19431148" w14:textId="77777777">
      <w:pPr>
        <w:pStyle w:val="KeinLeerraum"/>
        <w:ind w:start="0" w:firstLine="0"/>
        <w:rPr>
          <w:bCs/>
          <w:sz w:val="21"/>
          <w:szCs w:val="21"/>
        </w:rPr>
      </w:pPr>
    </w:p>
    <w:p w:rsidR="00557C26" w:rsidP="00557C26" w:rsidRDefault="00557C26" w14:paraId="3CFAA65D" w14:textId="5E009231">
      <w:pPr>
        <w:pStyle w:val="KeinLeerraum"/>
        <w:ind w:start="0" w:firstLine="0"/>
        <w:rPr>
          <w:bCs/>
          <w:sz w:val="21"/>
          <w:szCs w:val="21"/>
        </w:rPr>
      </w:pPr>
      <w:r>
        <w:rPr>
          <w:bCs/>
          <w:sz w:val="21"/>
          <w:szCs w:val="21"/>
        </w:rPr>
        <w:t xml:space="preserve">The idea of developing a "</w:t>
      </w:r>
      <w:r w:rsidR="00C50915">
        <w:rPr>
          <w:bCs/>
          <w:sz w:val="21"/>
          <w:szCs w:val="21"/>
        </w:rPr>
        <w:t xml:space="preserve">kick-off letter for </w:t>
      </w:r>
      <w:r>
        <w:rPr>
          <w:bCs/>
          <w:sz w:val="21"/>
          <w:szCs w:val="21"/>
        </w:rPr>
        <w:t xml:space="preserve">pension equalisation"</w:t>
      </w:r>
      <w:r>
        <w:rPr>
          <w:bCs/>
          <w:sz w:val="21"/>
          <w:szCs w:val="21"/>
        </w:rPr>
        <w:t xml:space="preserve"> emerged during the coffee round</w:t>
      </w:r>
      <w:r>
        <w:rPr>
          <w:bCs/>
          <w:sz w:val="21"/>
          <w:szCs w:val="21"/>
        </w:rPr>
        <w:t xml:space="preserve">, which would offer important assistance to clients who are often overwhelmed by the consequences of a VA and enable authorised representatives to support their clients in this regard.</w:t>
      </w:r>
    </w:p>
    <w:p w:rsidR="00557C26" w:rsidP="00557C26" w:rsidRDefault="00557C26" w14:paraId="76CD01E4" w14:textId="77777777">
      <w:pPr>
        <w:pStyle w:val="KeinLeerraum"/>
        <w:ind w:start="0" w:firstLine="0"/>
        <w:rPr>
          <w:bCs/>
          <w:sz w:val="21"/>
          <w:szCs w:val="21"/>
        </w:rPr>
      </w:pPr>
    </w:p>
    <w:p w:rsidR="00557C26" w:rsidP="00557C26" w:rsidRDefault="00557C26" w14:paraId="31CE8C4D" w14:textId="77777777">
      <w:pPr>
        <w:pStyle w:val="KeinLeerraum"/>
        <w:ind w:start="0" w:firstLine="0"/>
        <w:rPr>
          <w:bCs/>
          <w:sz w:val="21"/>
          <w:szCs w:val="21"/>
        </w:rPr>
      </w:pPr>
      <w:r>
        <w:rPr>
          <w:bCs/>
          <w:sz w:val="21"/>
          <w:szCs w:val="21"/>
        </w:rPr>
        <w:t xml:space="preserve">Contributors to the document include:</w:t>
      </w:r>
    </w:p>
    <w:p w:rsidR="00557C26" w:rsidP="00557C26" w:rsidRDefault="00557C26" w14:paraId="5BE94535" w14:textId="77777777">
      <w:pPr>
        <w:pStyle w:val="KeinLeerraum"/>
        <w:ind w:start="0" w:firstLine="0"/>
        <w:rPr>
          <w:bCs/>
          <w:sz w:val="21"/>
          <w:szCs w:val="21"/>
        </w:rPr>
      </w:pPr>
      <w:hyperlink w:history="1" r:id="rId7">
        <w:r w:rsidRPr="00D86E02">
          <w:rPr>
            <w:rStyle w:val="Hyperlink"/>
            <w:bCs/>
            <w:sz w:val="21"/>
            <w:szCs w:val="21"/>
          </w:rPr>
          <w:t xml:space="preserve">Jörn Hauß</w:t>
        </w:r>
      </w:hyperlink>
      <w:r>
        <w:rPr>
          <w:bCs/>
          <w:sz w:val="21"/>
          <w:szCs w:val="21"/>
        </w:rPr>
        <w:t xml:space="preserve">, lawyer</w:t>
      </w:r>
    </w:p>
    <w:p w:rsidR="00557C26" w:rsidP="00557C26" w:rsidRDefault="00557C26" w14:paraId="217C8944" w14:textId="77777777">
      <w:pPr>
        <w:pStyle w:val="KeinLeerraum"/>
        <w:ind w:start="0" w:firstLine="0"/>
        <w:rPr>
          <w:bCs/>
          <w:sz w:val="21"/>
          <w:szCs w:val="21"/>
        </w:rPr>
      </w:pPr>
      <w:hyperlink w:history="1" r:id="rId8">
        <w:r w:rsidRPr="00D86E02">
          <w:rPr>
            <w:rStyle w:val="Hyperlink"/>
            <w:bCs/>
            <w:sz w:val="21"/>
            <w:szCs w:val="21"/>
          </w:rPr>
          <w:t xml:space="preserve">Thomas Neumann</w:t>
        </w:r>
      </w:hyperlink>
      <w:r>
        <w:rPr>
          <w:bCs/>
          <w:sz w:val="21"/>
          <w:szCs w:val="21"/>
        </w:rPr>
        <w:t xml:space="preserve">, pension consultant</w:t>
      </w:r>
    </w:p>
    <w:p w:rsidR="00557C26" w:rsidP="00557C26" w:rsidRDefault="00557C26" w14:paraId="4B4B99D5" w14:textId="77777777">
      <w:pPr>
        <w:pStyle w:val="KeinLeerraum"/>
        <w:ind w:start="0" w:firstLine="0"/>
        <w:rPr>
          <w:bCs/>
          <w:sz w:val="21"/>
          <w:szCs w:val="21"/>
        </w:rPr>
      </w:pPr>
    </w:p>
    <w:p w:rsidR="00557C26" w:rsidP="00557C26" w:rsidRDefault="00557C26" w14:paraId="2E594EAE" w14:textId="77777777">
      <w:pPr>
        <w:pStyle w:val="KeinLeerraum"/>
        <w:ind w:start="0" w:firstLine="0"/>
        <w:rPr>
          <w:bCs/>
          <w:sz w:val="21"/>
          <w:szCs w:val="21"/>
        </w:rPr>
      </w:pPr>
      <w:r>
        <w:rPr>
          <w:bCs/>
          <w:sz w:val="21"/>
          <w:szCs w:val="21"/>
        </w:rPr>
        <w:t xml:space="preserve">You are cordially invited to participate in the further development of the document. Please send your suggestions to the e-mail address given above. </w:t>
      </w:r>
    </w:p>
    <w:p w:rsidR="00557C26" w:rsidP="00557C26" w:rsidRDefault="00557C26" w14:paraId="332C3BEF" w14:textId="77777777">
      <w:pPr>
        <w:pStyle w:val="KeinLeerraum"/>
        <w:ind w:start="0" w:firstLine="0"/>
        <w:rPr>
          <w:bCs/>
          <w:sz w:val="21"/>
          <w:szCs w:val="21"/>
        </w:rPr>
      </w:pPr>
    </w:p>
    <w:p w:rsidR="00557C26" w:rsidP="00557C26" w:rsidRDefault="00557C26" w14:paraId="430407AE" w14:textId="77777777">
      <w:pPr>
        <w:pStyle w:val="KeinLeerraum"/>
        <w:ind w:start="0" w:firstLine="0"/>
        <w:rPr>
          <w:bCs/>
          <w:sz w:val="21"/>
          <w:szCs w:val="21"/>
        </w:rPr>
      </w:pPr>
      <w:bookmarkStart w:name="_Hlk161993145" w:id="0"/>
      <w:r>
        <w:rPr>
          <w:bCs/>
          <w:sz w:val="21"/>
          <w:szCs w:val="21"/>
        </w:rPr>
        <w:t xml:space="preserve">This document is provided as an editable file. You can therefore change the text according to your requirements.</w:t>
      </w:r>
    </w:p>
    <w:p w:rsidR="002A04B3" w:rsidP="00557C26" w:rsidRDefault="002A04B3" w14:paraId="2052C8C6" w14:textId="77777777">
      <w:pPr>
        <w:pStyle w:val="KeinLeerraum"/>
        <w:ind w:start="0" w:firstLine="0"/>
        <w:rPr>
          <w:bCs/>
          <w:sz w:val="21"/>
          <w:szCs w:val="21"/>
        </w:rPr>
      </w:pPr>
    </w:p>
    <w:p w:rsidR="002A04B3" w:rsidP="00557C26" w:rsidRDefault="002A04B3" w14:paraId="0C5D4C4D" w14:textId="77777777">
      <w:pPr>
        <w:pStyle w:val="KeinLeerraum"/>
        <w:ind w:start="0" w:firstLine="0"/>
        <w:rPr>
          <w:bCs/>
          <w:sz w:val="21"/>
          <w:szCs w:val="21"/>
        </w:rPr>
      </w:pPr>
    </w:p>
    <w:sdt>
      <w:sdtPr>
        <w:rPr>
          <w:rFonts w:ascii="Arial" w:hAnsi="Arial" w:eastAsiaTheme="minorHAnsi" w:cstheme="minorBidi"/>
          <w:color w:val="auto"/>
          <w:sz w:val="20"/>
          <w:szCs w:val="22"/>
          <w:lang w:eastAsia="en-US"/>
        </w:rPr>
        <w:id w:val="958838211"/>
        <w:docPartObj>
          <w:docPartGallery w:val="Table of Contents"/>
          <w:docPartUnique/>
        </w:docPartObj>
      </w:sdtPr>
      <w:sdtEndPr>
        <w:rPr>
          <w:b/>
          <w:bCs/>
        </w:rPr>
      </w:sdtEndPr>
      <w:sdtContent>
        <w:p w:rsidR="002A04B3" w:rsidRDefault="002A04B3" w14:paraId="3940F963" w14:textId="41144D7A">
          <w:pPr>
            <w:pStyle w:val="Inhaltsverzeichnisberschrift"/>
          </w:pPr>
          <w:r>
            <w:t xml:space="preserve">Contents</w:t>
          </w:r>
        </w:p>
        <w:p w:rsidR="002A04B3" w:rsidP="002A04B3" w:rsidRDefault="002A04B3" w14:paraId="2A9094EF" w14:textId="752E833C">
          <w:pPr>
            <w:pStyle w:val="Verzeichnis1"/>
            <w:numPr>
              <w:ilvl w:val="0"/>
              <w:numId w:val="0"/>
            </w:numPr>
            <w:tabs>
              <w:tab w:val="left" w:pos="480"/>
              <w:tab w:val="right" w:leader="dot" w:pos="9062"/>
            </w:tabs>
            <w:ind w:start="-360"/>
            <w:rPr>
              <w:noProof/>
            </w:rPr>
          </w:pPr>
          <w:r>
            <w:fldChar w:fldCharType="begin"/>
          </w:r>
          <w:r>
            <w:instrText xml:space="preserve"> TOC \o "1-3" \h \z \u </w:instrText>
          </w:r>
          <w:r>
            <w:fldChar w:fldCharType="separate"/>
          </w:r>
          <w:hyperlink w:history="1" w:anchor="_Toc187309147">
            <w:r w:rsidRPr="00366B09">
              <w:rPr>
                <w:rStyle w:val="Hyperlink"/>
                <w:noProof/>
              </w:rPr>
              <w:t>1.</w:t>
            </w:r>
            <w:r>
              <w:rPr>
                <w:noProof/>
              </w:rPr>
              <w:tab/>
            </w:r>
            <w:r w:rsidRPr="00366B09">
              <w:rPr>
                <w:rStyle w:val="Hyperlink"/>
                <w:noProof/>
              </w:rPr>
              <w:t xml:space="preserve">What is pension equalisation?</w:t>
            </w:r>
            <w:r>
              <w:rPr>
                <w:noProof/>
                <w:webHidden/>
              </w:rPr>
              <w:tab/>
            </w:r>
            <w:r>
              <w:rPr>
                <w:noProof/>
                <w:webHidden/>
              </w:rPr>
              <w:fldChar w:fldCharType="begin"/>
            </w:r>
            <w:r>
              <w:rPr>
                <w:noProof/>
                <w:webHidden/>
              </w:rPr>
              <w:instrText xml:space="preserve"> PAGEREF _Toc187309147 \h </w:instrText>
            </w:r>
            <w:r>
              <w:rPr>
                <w:noProof/>
                <w:webHidden/>
              </w:rPr>
              <w:fldChar w:fldCharType="separate"/>
            </w:r>
            <w:r>
              <w:rPr>
                <w:noProof/>
                <w:webHidden/>
              </w:rPr>
              <w:t>2</w:t>
            </w:r>
            <w:r>
              <w:rPr>
                <w:noProof/>
                <w:webHidden/>
              </w:rPr>
              <w:fldChar w:fldCharType="end"/>
            </w:r>
          </w:hyperlink>
        </w:p>
        <w:p w:rsidR="002A04B3" w:rsidP="002A04B3" w:rsidRDefault="002A04B3" w14:paraId="07AE4FCC" w14:textId="15EE47A1">
          <w:pPr>
            <w:pStyle w:val="Verzeichnis1"/>
            <w:numPr>
              <w:ilvl w:val="0"/>
              <w:numId w:val="0"/>
            </w:numPr>
            <w:tabs>
              <w:tab w:val="left" w:pos="480"/>
              <w:tab w:val="right" w:leader="dot" w:pos="9062"/>
            </w:tabs>
            <w:ind w:start="-360"/>
            <w:rPr>
              <w:noProof/>
            </w:rPr>
          </w:pPr>
          <w:hyperlink w:history="1" w:anchor="_Toc187309148">
            <w:r w:rsidRPr="00366B09">
              <w:rPr>
                <w:rStyle w:val="Hyperlink"/>
                <w:noProof/>
              </w:rPr>
              <w:t>2.</w:t>
            </w:r>
            <w:r>
              <w:rPr>
                <w:noProof/>
              </w:rPr>
              <w:tab/>
            </w:r>
            <w:r w:rsidRPr="00366B09">
              <w:rPr>
                <w:rStyle w:val="Hyperlink"/>
                <w:noProof/>
              </w:rPr>
              <w:t xml:space="preserve">Special features</w:t>
            </w:r>
            <w:r>
              <w:rPr>
                <w:noProof/>
                <w:webHidden/>
              </w:rPr>
              <w:tab/>
            </w:r>
            <w:r>
              <w:rPr>
                <w:noProof/>
                <w:webHidden/>
              </w:rPr>
              <w:fldChar w:fldCharType="begin"/>
            </w:r>
            <w:r>
              <w:rPr>
                <w:noProof/>
                <w:webHidden/>
              </w:rPr>
              <w:instrText xml:space="preserve"> PAGEREF _Toc187309148 \h </w:instrText>
            </w:r>
            <w:r>
              <w:rPr>
                <w:noProof/>
                <w:webHidden/>
              </w:rPr>
              <w:fldChar w:fldCharType="separate"/>
            </w:r>
            <w:r>
              <w:rPr>
                <w:noProof/>
                <w:webHidden/>
              </w:rPr>
              <w:t>2</w:t>
            </w:r>
            <w:r>
              <w:rPr>
                <w:noProof/>
                <w:webHidden/>
              </w:rPr>
              <w:fldChar w:fldCharType="end"/>
            </w:r>
          </w:hyperlink>
        </w:p>
        <w:p w:rsidR="002A04B3" w:rsidP="002A04B3" w:rsidRDefault="002A04B3" w14:paraId="4537F6B6" w14:textId="0B9B6F9A">
          <w:pPr>
            <w:pStyle w:val="Verzeichnis2"/>
            <w:numPr>
              <w:ilvl w:val="0"/>
              <w:numId w:val="0"/>
            </w:numPr>
            <w:tabs>
              <w:tab w:val="left" w:pos="720"/>
              <w:tab w:val="right" w:leader="dot" w:pos="9062"/>
            </w:tabs>
            <w:ind w:start="-160"/>
            <w:rPr>
              <w:noProof/>
            </w:rPr>
          </w:pPr>
          <w:hyperlink w:history="1" w:anchor="_Toc187309149">
            <w:r w:rsidRPr="00366B09">
              <w:rPr>
                <w:rStyle w:val="Hyperlink"/>
                <w:noProof/>
              </w:rPr>
              <w:t xml:space="preserve">a)</w:t>
            </w:r>
            <w:r>
              <w:rPr>
                <w:noProof/>
              </w:rPr>
              <w:tab/>
            </w:r>
            <w:r w:rsidRPr="00366B09">
              <w:rPr>
                <w:rStyle w:val="Hyperlink"/>
                <w:noProof/>
              </w:rPr>
              <w:t xml:space="preserve">State and municipal civil servants</w:t>
            </w:r>
            <w:r>
              <w:rPr>
                <w:noProof/>
                <w:webHidden/>
              </w:rPr>
              <w:tab/>
            </w:r>
            <w:r>
              <w:rPr>
                <w:noProof/>
                <w:webHidden/>
              </w:rPr>
              <w:fldChar w:fldCharType="begin"/>
            </w:r>
            <w:r>
              <w:rPr>
                <w:noProof/>
                <w:webHidden/>
              </w:rPr>
              <w:instrText xml:space="preserve"> PAGEREF _Toc187309149 \h </w:instrText>
            </w:r>
            <w:r>
              <w:rPr>
                <w:noProof/>
                <w:webHidden/>
              </w:rPr>
              <w:fldChar w:fldCharType="separate"/>
            </w:r>
            <w:r>
              <w:rPr>
                <w:noProof/>
                <w:webHidden/>
              </w:rPr>
              <w:t>2</w:t>
            </w:r>
            <w:r>
              <w:rPr>
                <w:noProof/>
                <w:webHidden/>
              </w:rPr>
              <w:fldChar w:fldCharType="end"/>
            </w:r>
          </w:hyperlink>
        </w:p>
        <w:p w:rsidR="002A04B3" w:rsidP="002A04B3" w:rsidRDefault="002A04B3" w14:paraId="0F008767" w14:textId="6B03F188">
          <w:pPr>
            <w:pStyle w:val="Verzeichnis2"/>
            <w:numPr>
              <w:ilvl w:val="0"/>
              <w:numId w:val="0"/>
            </w:numPr>
            <w:tabs>
              <w:tab w:val="left" w:pos="720"/>
              <w:tab w:val="right" w:leader="dot" w:pos="9062"/>
            </w:tabs>
            <w:ind w:start="-160"/>
            <w:rPr>
              <w:noProof/>
            </w:rPr>
          </w:pPr>
          <w:hyperlink w:history="1" w:anchor="_Toc187309150">
            <w:r w:rsidRPr="00366B09">
              <w:rPr>
                <w:rStyle w:val="Hyperlink"/>
                <w:noProof/>
              </w:rPr>
              <w:t xml:space="preserve">b)</w:t>
            </w:r>
            <w:r>
              <w:rPr>
                <w:noProof/>
              </w:rPr>
              <w:tab/>
            </w:r>
            <w:r w:rsidRPr="00366B09">
              <w:rPr>
                <w:rStyle w:val="Hyperlink"/>
                <w:noProof/>
              </w:rPr>
              <w:t xml:space="preserve">Federal civil servants, soldiers and federal judges</w:t>
            </w:r>
            <w:r>
              <w:rPr>
                <w:noProof/>
                <w:webHidden/>
              </w:rPr>
              <w:tab/>
            </w:r>
            <w:r>
              <w:rPr>
                <w:noProof/>
                <w:webHidden/>
              </w:rPr>
              <w:fldChar w:fldCharType="begin"/>
            </w:r>
            <w:r>
              <w:rPr>
                <w:noProof/>
                <w:webHidden/>
              </w:rPr>
              <w:instrText xml:space="preserve"> PAGEREF _Toc187309150 \h </w:instrText>
            </w:r>
            <w:r>
              <w:rPr>
                <w:noProof/>
                <w:webHidden/>
              </w:rPr>
              <w:fldChar w:fldCharType="separate"/>
            </w:r>
            <w:r>
              <w:rPr>
                <w:noProof/>
                <w:webHidden/>
              </w:rPr>
              <w:t>2</w:t>
            </w:r>
            <w:r>
              <w:rPr>
                <w:noProof/>
                <w:webHidden/>
              </w:rPr>
              <w:fldChar w:fldCharType="end"/>
            </w:r>
          </w:hyperlink>
        </w:p>
        <w:p w:rsidR="002A04B3" w:rsidP="002A04B3" w:rsidRDefault="002A04B3" w14:paraId="22572162" w14:textId="370E9D7A">
          <w:pPr>
            <w:pStyle w:val="Verzeichnis2"/>
            <w:numPr>
              <w:ilvl w:val="0"/>
              <w:numId w:val="0"/>
            </w:numPr>
            <w:tabs>
              <w:tab w:val="left" w:pos="720"/>
              <w:tab w:val="right" w:leader="dot" w:pos="9062"/>
            </w:tabs>
            <w:ind w:start="-160"/>
            <w:rPr>
              <w:noProof/>
            </w:rPr>
          </w:pPr>
          <w:hyperlink w:history="1" w:anchor="_Toc187309151">
            <w:r w:rsidRPr="00366B09">
              <w:rPr>
                <w:rStyle w:val="Hyperlink"/>
                <w:noProof/>
              </w:rPr>
              <w:t xml:space="preserve">c)</w:t>
            </w:r>
            <w:r>
              <w:rPr>
                <w:noProof/>
              </w:rPr>
              <w:tab/>
            </w:r>
            <w:r w:rsidRPr="00366B09">
              <w:rPr>
                <w:rStyle w:val="Hyperlink"/>
                <w:noProof/>
              </w:rPr>
              <w:t xml:space="preserve">Professional pension schemes</w:t>
            </w:r>
            <w:r>
              <w:rPr>
                <w:noProof/>
                <w:webHidden/>
              </w:rPr>
              <w:tab/>
            </w:r>
            <w:r>
              <w:rPr>
                <w:noProof/>
                <w:webHidden/>
              </w:rPr>
              <w:fldChar w:fldCharType="begin"/>
            </w:r>
            <w:r>
              <w:rPr>
                <w:noProof/>
                <w:webHidden/>
              </w:rPr>
              <w:instrText xml:space="preserve"> PAGEREF _Toc187309151 \h </w:instrText>
            </w:r>
            <w:r>
              <w:rPr>
                <w:noProof/>
                <w:webHidden/>
              </w:rPr>
              <w:fldChar w:fldCharType="separate"/>
            </w:r>
            <w:r>
              <w:rPr>
                <w:noProof/>
                <w:webHidden/>
              </w:rPr>
              <w:t>2</w:t>
            </w:r>
            <w:r>
              <w:rPr>
                <w:noProof/>
                <w:webHidden/>
              </w:rPr>
              <w:fldChar w:fldCharType="end"/>
            </w:r>
          </w:hyperlink>
        </w:p>
        <w:p w:rsidR="002A04B3" w:rsidP="002A04B3" w:rsidRDefault="002A04B3" w14:paraId="03A87177" w14:textId="290FFD47">
          <w:pPr>
            <w:pStyle w:val="Verzeichnis2"/>
            <w:numPr>
              <w:ilvl w:val="0"/>
              <w:numId w:val="0"/>
            </w:numPr>
            <w:tabs>
              <w:tab w:val="left" w:pos="720"/>
              <w:tab w:val="right" w:leader="dot" w:pos="9062"/>
            </w:tabs>
            <w:ind w:start="-160"/>
            <w:rPr>
              <w:noProof/>
            </w:rPr>
          </w:pPr>
          <w:hyperlink w:history="1" w:anchor="_Toc187309152">
            <w:r w:rsidRPr="00366B09">
              <w:rPr>
                <w:rStyle w:val="Hyperlink"/>
                <w:noProof/>
              </w:rPr>
              <w:t xml:space="preserve">d)</w:t>
            </w:r>
            <w:r>
              <w:rPr>
                <w:noProof/>
              </w:rPr>
              <w:tab/>
            </w:r>
            <w:r w:rsidRPr="00366B09">
              <w:rPr>
                <w:rStyle w:val="Hyperlink"/>
                <w:noProof/>
              </w:rPr>
              <w:t xml:space="preserve">Occupational pensions</w:t>
            </w:r>
            <w:r>
              <w:rPr>
                <w:noProof/>
                <w:webHidden/>
              </w:rPr>
              <w:tab/>
            </w:r>
            <w:r>
              <w:rPr>
                <w:noProof/>
                <w:webHidden/>
              </w:rPr>
              <w:fldChar w:fldCharType="begin"/>
            </w:r>
            <w:r>
              <w:rPr>
                <w:noProof/>
                <w:webHidden/>
              </w:rPr>
              <w:instrText xml:space="preserve"> PAGEREF _Toc187309152 \h </w:instrText>
            </w:r>
            <w:r>
              <w:rPr>
                <w:noProof/>
                <w:webHidden/>
              </w:rPr>
              <w:fldChar w:fldCharType="separate"/>
            </w:r>
            <w:r>
              <w:rPr>
                <w:noProof/>
                <w:webHidden/>
              </w:rPr>
              <w:t>3</w:t>
            </w:r>
            <w:r>
              <w:rPr>
                <w:noProof/>
                <w:webHidden/>
              </w:rPr>
              <w:fldChar w:fldCharType="end"/>
            </w:r>
          </w:hyperlink>
        </w:p>
        <w:p w:rsidR="002A04B3" w:rsidP="002A04B3" w:rsidRDefault="002A04B3" w14:paraId="701592EE" w14:textId="51109819">
          <w:pPr>
            <w:pStyle w:val="Verzeichnis2"/>
            <w:numPr>
              <w:ilvl w:val="0"/>
              <w:numId w:val="0"/>
            </w:numPr>
            <w:tabs>
              <w:tab w:val="left" w:pos="720"/>
              <w:tab w:val="right" w:leader="dot" w:pos="9062"/>
            </w:tabs>
            <w:ind w:start="-160"/>
            <w:rPr>
              <w:noProof/>
            </w:rPr>
          </w:pPr>
          <w:hyperlink w:history="1" w:anchor="_Toc187309153">
            <w:r w:rsidRPr="00366B09">
              <w:rPr>
                <w:rStyle w:val="Hyperlink"/>
                <w:noProof/>
              </w:rPr>
              <w:t xml:space="preserve">e)</w:t>
            </w:r>
            <w:r>
              <w:rPr>
                <w:noProof/>
              </w:rPr>
              <w:tab/>
            </w:r>
            <w:r w:rsidRPr="00366B09">
              <w:rPr>
                <w:rStyle w:val="Hyperlink"/>
                <w:noProof/>
              </w:rPr>
              <w:t xml:space="preserve">Direct commitments</w:t>
            </w:r>
            <w:r>
              <w:rPr>
                <w:noProof/>
                <w:webHidden/>
              </w:rPr>
              <w:tab/>
            </w:r>
            <w:r>
              <w:rPr>
                <w:noProof/>
                <w:webHidden/>
              </w:rPr>
              <w:fldChar w:fldCharType="begin"/>
            </w:r>
            <w:r>
              <w:rPr>
                <w:noProof/>
                <w:webHidden/>
              </w:rPr>
              <w:instrText xml:space="preserve"> PAGEREF _Toc187309153 \h </w:instrText>
            </w:r>
            <w:r>
              <w:rPr>
                <w:noProof/>
                <w:webHidden/>
              </w:rPr>
              <w:fldChar w:fldCharType="separate"/>
            </w:r>
            <w:r>
              <w:rPr>
                <w:noProof/>
                <w:webHidden/>
              </w:rPr>
              <w:t>3</w:t>
            </w:r>
            <w:r>
              <w:rPr>
                <w:noProof/>
                <w:webHidden/>
              </w:rPr>
              <w:fldChar w:fldCharType="end"/>
            </w:r>
          </w:hyperlink>
        </w:p>
        <w:p w:rsidR="002A04B3" w:rsidP="002A04B3" w:rsidRDefault="002A04B3" w14:paraId="06B2B737" w14:textId="196DE95F">
          <w:pPr>
            <w:pStyle w:val="Verzeichnis2"/>
            <w:numPr>
              <w:ilvl w:val="0"/>
              <w:numId w:val="0"/>
            </w:numPr>
            <w:tabs>
              <w:tab w:val="left" w:pos="720"/>
              <w:tab w:val="right" w:leader="dot" w:pos="9062"/>
            </w:tabs>
            <w:ind w:start="-160"/>
            <w:rPr>
              <w:noProof/>
            </w:rPr>
          </w:pPr>
          <w:hyperlink w:history="1" w:anchor="_Toc187309154">
            <w:r w:rsidRPr="00366B09">
              <w:rPr>
                <w:rStyle w:val="Hyperlink"/>
                <w:noProof/>
              </w:rPr>
              <w:t xml:space="preserve">f)</w:t>
            </w:r>
            <w:r>
              <w:rPr>
                <w:noProof/>
              </w:rPr>
              <w:tab/>
            </w:r>
            <w:r w:rsidRPr="00366B09">
              <w:rPr>
                <w:rStyle w:val="Hyperlink"/>
                <w:noProof/>
              </w:rPr>
              <w:t xml:space="preserve">Private pension schemes</w:t>
            </w:r>
            <w:r>
              <w:rPr>
                <w:noProof/>
                <w:webHidden/>
              </w:rPr>
              <w:tab/>
            </w:r>
            <w:r>
              <w:rPr>
                <w:noProof/>
                <w:webHidden/>
              </w:rPr>
              <w:fldChar w:fldCharType="begin"/>
            </w:r>
            <w:r>
              <w:rPr>
                <w:noProof/>
                <w:webHidden/>
              </w:rPr>
              <w:instrText xml:space="preserve"> PAGEREF _Toc187309154 \h </w:instrText>
            </w:r>
            <w:r>
              <w:rPr>
                <w:noProof/>
                <w:webHidden/>
              </w:rPr>
              <w:fldChar w:fldCharType="separate"/>
            </w:r>
            <w:r>
              <w:rPr>
                <w:noProof/>
                <w:webHidden/>
              </w:rPr>
              <w:t>3</w:t>
            </w:r>
            <w:r>
              <w:rPr>
                <w:noProof/>
                <w:webHidden/>
              </w:rPr>
              <w:fldChar w:fldCharType="end"/>
            </w:r>
          </w:hyperlink>
        </w:p>
        <w:p w:rsidR="002A04B3" w:rsidP="002A04B3" w:rsidRDefault="002A04B3" w14:paraId="112B6B1C" w14:textId="2E64176C">
          <w:pPr>
            <w:pStyle w:val="Verzeichnis2"/>
            <w:numPr>
              <w:ilvl w:val="0"/>
              <w:numId w:val="0"/>
            </w:numPr>
            <w:tabs>
              <w:tab w:val="left" w:pos="720"/>
              <w:tab w:val="right" w:leader="dot" w:pos="9062"/>
            </w:tabs>
            <w:ind w:start="-160"/>
            <w:rPr>
              <w:noProof/>
            </w:rPr>
          </w:pPr>
          <w:hyperlink w:history="1" w:anchor="_Toc187309155">
            <w:r w:rsidRPr="00366B09">
              <w:rPr>
                <w:rStyle w:val="Hyperlink"/>
                <w:noProof/>
              </w:rPr>
              <w:t xml:space="preserve">g)</w:t>
            </w:r>
            <w:r>
              <w:rPr>
                <w:noProof/>
              </w:rPr>
              <w:tab/>
            </w:r>
            <w:r w:rsidRPr="00366B09">
              <w:rPr>
                <w:rStyle w:val="Hyperlink"/>
                <w:noProof/>
              </w:rPr>
              <w:t xml:space="preserve">Foreign and supranational pension schemes</w:t>
            </w:r>
            <w:r>
              <w:rPr>
                <w:noProof/>
                <w:webHidden/>
              </w:rPr>
              <w:tab/>
            </w:r>
            <w:r>
              <w:rPr>
                <w:noProof/>
                <w:webHidden/>
              </w:rPr>
              <w:fldChar w:fldCharType="begin"/>
            </w:r>
            <w:r>
              <w:rPr>
                <w:noProof/>
                <w:webHidden/>
              </w:rPr>
              <w:instrText xml:space="preserve"> PAGEREF _Toc187309155 \h </w:instrText>
            </w:r>
            <w:r>
              <w:rPr>
                <w:noProof/>
                <w:webHidden/>
              </w:rPr>
              <w:fldChar w:fldCharType="separate"/>
            </w:r>
            <w:r>
              <w:rPr>
                <w:noProof/>
                <w:webHidden/>
              </w:rPr>
              <w:t>3</w:t>
            </w:r>
            <w:r>
              <w:rPr>
                <w:noProof/>
                <w:webHidden/>
              </w:rPr>
              <w:fldChar w:fldCharType="end"/>
            </w:r>
          </w:hyperlink>
        </w:p>
        <w:p w:rsidR="002A04B3" w:rsidP="002A04B3" w:rsidRDefault="002A04B3" w14:paraId="49B8D881" w14:textId="36C59432">
          <w:pPr>
            <w:pStyle w:val="Verzeichnis1"/>
            <w:numPr>
              <w:ilvl w:val="0"/>
              <w:numId w:val="0"/>
            </w:numPr>
            <w:tabs>
              <w:tab w:val="left" w:pos="480"/>
              <w:tab w:val="right" w:leader="dot" w:pos="9062"/>
            </w:tabs>
            <w:ind w:start="-360"/>
            <w:rPr>
              <w:noProof/>
            </w:rPr>
          </w:pPr>
          <w:hyperlink w:history="1" w:anchor="_Toc187309156">
            <w:r w:rsidRPr="00366B09">
              <w:rPr>
                <w:rStyle w:val="Hyperlink"/>
                <w:noProof/>
              </w:rPr>
              <w:t>3.</w:t>
            </w:r>
            <w:r>
              <w:rPr>
                <w:noProof/>
              </w:rPr>
              <w:tab/>
            </w:r>
            <w:r w:rsidRPr="00366B09">
              <w:rPr>
                <w:rStyle w:val="Hyperlink"/>
                <w:noProof/>
              </w:rPr>
              <w:t xml:space="preserve">Concluding general notes</w:t>
            </w:r>
            <w:r>
              <w:rPr>
                <w:noProof/>
                <w:webHidden/>
              </w:rPr>
              <w:tab/>
            </w:r>
            <w:r>
              <w:rPr>
                <w:noProof/>
                <w:webHidden/>
              </w:rPr>
              <w:fldChar w:fldCharType="begin"/>
            </w:r>
            <w:r>
              <w:rPr>
                <w:noProof/>
                <w:webHidden/>
              </w:rPr>
              <w:instrText xml:space="preserve"> PAGEREF _Toc187309156 \h </w:instrText>
            </w:r>
            <w:r>
              <w:rPr>
                <w:noProof/>
                <w:webHidden/>
              </w:rPr>
              <w:fldChar w:fldCharType="separate"/>
            </w:r>
            <w:r>
              <w:rPr>
                <w:noProof/>
                <w:webHidden/>
              </w:rPr>
              <w:t>3</w:t>
            </w:r>
            <w:r>
              <w:rPr>
                <w:noProof/>
                <w:webHidden/>
              </w:rPr>
              <w:fldChar w:fldCharType="end"/>
            </w:r>
          </w:hyperlink>
        </w:p>
        <w:p w:rsidR="002A04B3" w:rsidP="002A04B3" w:rsidRDefault="002A04B3" w14:paraId="0CAC0E7B" w14:textId="54D31688">
          <w:pPr>
            <w:numPr>
              <w:ilvl w:val="0"/>
              <w:numId w:val="0"/>
            </w:numPr>
            <w:ind w:start="1134"/>
          </w:pPr>
          <w:r>
            <w:rPr>
              <w:b/>
              <w:bCs/>
            </w:rPr>
            <w:fldChar w:fldCharType="end"/>
          </w:r>
        </w:p>
      </w:sdtContent>
    </w:sdt>
    <w:p w:rsidR="002A04B3" w:rsidP="00557C26" w:rsidRDefault="002A04B3" w14:paraId="51258BC2" w14:textId="77777777">
      <w:pPr>
        <w:pStyle w:val="KeinLeerraum"/>
        <w:ind w:start="0" w:firstLine="0"/>
        <w:rPr>
          <w:bCs/>
          <w:sz w:val="21"/>
          <w:szCs w:val="21"/>
        </w:rPr>
      </w:pPr>
    </w:p>
    <w:bookmarkEnd w:id="0"/>
    <w:p w:rsidRPr="00A44AFA" w:rsidR="00A05307" w:rsidP="003C6EFE" w:rsidRDefault="00557C26" w14:paraId="57871EF6" w14:textId="6D7F0B16">
      <w:pPr>
        <w:pStyle w:val="berschrift1"/>
      </w:pPr>
      <w:r>
        <w:br w:type="column"/>
      </w:r>
      <w:bookmarkStart w:name="_Toc187309147" w:id="1"/>
      <w:r>
        <w:lastRenderedPageBreak/>
      </w:r>
      <w:r>
        <w:t xml:space="preserve">What is pension equalisation?</w:t>
      </w:r>
      <w:bookmarkEnd w:id="1"/>
    </w:p>
    <w:p w:rsidRPr="00557C26" w:rsidR="009650D4" w:rsidP="00D32C04" w:rsidRDefault="009650D4" w14:paraId="75BB9FFA" w14:textId="20671F03">
      <w:pPr>
        <w:numPr>
          <w:ilvl w:val="0"/>
          <w:numId w:val="0"/>
        </w:numPr>
        <w:rPr>
          <w:sz w:val="21"/>
          <w:szCs w:val="21"/>
        </w:rPr>
      </w:pPr>
      <w:r w:rsidRPr="00A44AFA">
        <w:rPr>
          <w:sz w:val="21"/>
          <w:szCs w:val="21"/>
        </w:rPr>
        <w:t xml:space="preserve">In pension equalisation</w:t>
      </w:r>
      <w:r w:rsidR="00A44AFA">
        <w:rPr>
          <w:sz w:val="21"/>
          <w:szCs w:val="21"/>
        </w:rPr>
        <w:t xml:space="preserve">, the </w:t>
      </w:r>
      <w:r w:rsidR="00A44AFA">
        <w:rPr>
          <w:sz w:val="21"/>
          <w:szCs w:val="21"/>
        </w:rPr>
        <w:t xml:space="preserve">pension entitlements acquired </w:t>
      </w:r>
      <w:r w:rsidR="005353E6">
        <w:rPr>
          <w:sz w:val="21"/>
          <w:szCs w:val="21"/>
        </w:rPr>
        <w:t xml:space="preserve">by the spouses </w:t>
      </w:r>
      <w:r w:rsidR="00A44AFA">
        <w:rPr>
          <w:sz w:val="21"/>
          <w:szCs w:val="21"/>
        </w:rPr>
        <w:t xml:space="preserve">during the marriage </w:t>
      </w:r>
      <w:r w:rsidR="005353E6">
        <w:rPr>
          <w:sz w:val="21"/>
          <w:szCs w:val="21"/>
        </w:rPr>
        <w:t xml:space="preserve">are divided by the court</w:t>
      </w:r>
      <w:r w:rsidRPr="00557C26" w:rsidR="002F6DB4">
        <w:rPr>
          <w:sz w:val="21"/>
          <w:szCs w:val="21"/>
        </w:rPr>
        <w:t xml:space="preserve">, regardless of whether these entitlements arose from work or assets. </w:t>
      </w:r>
      <w:r w:rsidRPr="00557C26">
        <w:rPr>
          <w:sz w:val="21"/>
          <w:szCs w:val="21"/>
        </w:rPr>
        <w:t xml:space="preserve">Both </w:t>
      </w:r>
      <w:r w:rsidRPr="00557C26" w:rsidR="002F6DB4">
        <w:rPr>
          <w:sz w:val="21"/>
          <w:szCs w:val="21"/>
        </w:rPr>
        <w:t xml:space="preserve">spouses </w:t>
      </w:r>
      <w:r w:rsidRPr="00557C26">
        <w:rPr>
          <w:sz w:val="21"/>
          <w:szCs w:val="21"/>
        </w:rPr>
        <w:t xml:space="preserve">should have the same pension entitlements after the pension equalisation. This sounds </w:t>
      </w:r>
      <w:r w:rsidRPr="00557C26">
        <w:rPr>
          <w:sz w:val="21"/>
          <w:szCs w:val="21"/>
        </w:rPr>
        <w:t xml:space="preserve">simple </w:t>
      </w:r>
      <w:r w:rsidRPr="00557C26" w:rsidR="00EE7D30">
        <w:rPr>
          <w:sz w:val="21"/>
          <w:szCs w:val="21"/>
        </w:rPr>
        <w:t xml:space="preserve">at first</w:t>
      </w:r>
      <w:r w:rsidRPr="00557C26">
        <w:rPr>
          <w:sz w:val="21"/>
          <w:szCs w:val="21"/>
        </w:rPr>
        <w:t xml:space="preserve">, but is often difficult </w:t>
      </w:r>
      <w:r w:rsidRPr="00557C26" w:rsidR="00EE7D30">
        <w:rPr>
          <w:sz w:val="21"/>
          <w:szCs w:val="21"/>
        </w:rPr>
        <w:t xml:space="preserve">in practice</w:t>
      </w:r>
      <w:r w:rsidRPr="00557C26">
        <w:rPr>
          <w:sz w:val="21"/>
          <w:szCs w:val="21"/>
        </w:rPr>
        <w:t xml:space="preserve">.</w:t>
      </w:r>
    </w:p>
    <w:p w:rsidRPr="00557C26" w:rsidR="009650D4" w:rsidP="00D32C04" w:rsidRDefault="009650D4" w14:paraId="39F52724" w14:textId="1F8A91C2">
      <w:pPr>
        <w:numPr>
          <w:ilvl w:val="0"/>
          <w:numId w:val="0"/>
        </w:numPr>
        <w:rPr>
          <w:sz w:val="21"/>
          <w:szCs w:val="21"/>
        </w:rPr>
      </w:pPr>
      <w:r w:rsidRPr="00557C26">
        <w:rPr>
          <w:sz w:val="21"/>
          <w:szCs w:val="21"/>
        </w:rPr>
        <w:t xml:space="preserve">There are many different types of </w:t>
      </w:r>
      <w:r w:rsidRPr="00557C26" w:rsidR="00EE7D30">
        <w:rPr>
          <w:sz w:val="21"/>
          <w:szCs w:val="21"/>
        </w:rPr>
        <w:t xml:space="preserve">pension entitlements</w:t>
      </w:r>
      <w:r w:rsidRPr="00557C26">
        <w:rPr>
          <w:sz w:val="21"/>
          <w:szCs w:val="21"/>
        </w:rPr>
        <w:t xml:space="preserve">. </w:t>
      </w:r>
      <w:r w:rsidRPr="00557C26">
        <w:rPr>
          <w:sz w:val="21"/>
          <w:szCs w:val="21"/>
        </w:rPr>
        <w:t xml:space="preserve">These include the </w:t>
      </w:r>
      <w:r w:rsidRPr="00557C26" w:rsidR="00EE7D30">
        <w:rPr>
          <w:sz w:val="21"/>
          <w:szCs w:val="21"/>
        </w:rPr>
        <w:t xml:space="preserve">so-called standard pension schemes (statutory </w:t>
      </w:r>
      <w:r w:rsidRPr="00557C26">
        <w:rPr>
          <w:sz w:val="21"/>
          <w:szCs w:val="21"/>
        </w:rPr>
        <w:t xml:space="preserve">pension insurance, civil servants' pensions, </w:t>
      </w:r>
      <w:r w:rsidRPr="00557C26" w:rsidR="00EE7D30">
        <w:rPr>
          <w:sz w:val="21"/>
          <w:szCs w:val="21"/>
        </w:rPr>
        <w:t xml:space="preserve">old-age insurance for farmers and professional pension schemes). However, </w:t>
      </w:r>
      <w:r w:rsidRPr="00557C26">
        <w:rPr>
          <w:sz w:val="21"/>
          <w:szCs w:val="21"/>
        </w:rPr>
        <w:t xml:space="preserve">occupational, private, foreign and supranational pension schemes </w:t>
      </w:r>
      <w:r w:rsidRPr="00557C26" w:rsidR="00EE7D30">
        <w:rPr>
          <w:sz w:val="21"/>
          <w:szCs w:val="21"/>
        </w:rPr>
        <w:t xml:space="preserve">are also included </w:t>
      </w:r>
      <w:r w:rsidRPr="00557C26" w:rsidR="00EE7D30">
        <w:rPr>
          <w:sz w:val="21"/>
          <w:szCs w:val="21"/>
        </w:rPr>
        <w:t xml:space="preserve">in pension equalisation</w:t>
      </w:r>
      <w:r w:rsidRPr="00557C26">
        <w:rPr>
          <w:sz w:val="21"/>
          <w:szCs w:val="21"/>
        </w:rPr>
        <w:t xml:space="preserve">. </w:t>
      </w:r>
    </w:p>
    <w:p w:rsidRPr="00557C26" w:rsidR="00611EB1" w:rsidP="00D32C04" w:rsidRDefault="00D758E8" w14:paraId="0CEB6A85" w14:textId="4F7D10D3">
      <w:pPr>
        <w:numPr>
          <w:ilvl w:val="0"/>
          <w:numId w:val="0"/>
        </w:numPr>
        <w:rPr>
          <w:sz w:val="21"/>
          <w:szCs w:val="21"/>
        </w:rPr>
      </w:pPr>
      <w:r w:rsidRPr="00557C26" w:rsidR="006D5886">
        <w:rPr>
          <w:sz w:val="21"/>
          <w:szCs w:val="21"/>
        </w:rPr>
        <w:t xml:space="preserve">All of </w:t>
      </w:r>
      <w:r w:rsidRPr="00557C26">
        <w:rPr>
          <w:sz w:val="21"/>
          <w:szCs w:val="21"/>
        </w:rPr>
        <w:t xml:space="preserve">these pension schemes </w:t>
      </w:r>
      <w:r w:rsidRPr="00557C26" w:rsidR="006D5886">
        <w:rPr>
          <w:sz w:val="21"/>
          <w:szCs w:val="21"/>
        </w:rPr>
        <w:t xml:space="preserve">differ to </w:t>
      </w:r>
      <w:r w:rsidRPr="00557C26" w:rsidR="00191239">
        <w:rPr>
          <w:sz w:val="21"/>
          <w:szCs w:val="21"/>
        </w:rPr>
        <w:t xml:space="preserve">a greater or lesser extent. </w:t>
      </w:r>
      <w:r w:rsidR="00DF7DF8">
        <w:rPr>
          <w:sz w:val="21"/>
          <w:szCs w:val="21"/>
        </w:rPr>
        <w:t xml:space="preserve">For example, </w:t>
      </w:r>
      <w:r w:rsidRPr="00557C26" w:rsidR="00191239">
        <w:rPr>
          <w:b/>
          <w:sz w:val="21"/>
          <w:szCs w:val="21"/>
        </w:rPr>
        <w:t xml:space="preserve">retirement age</w:t>
      </w:r>
      <w:r w:rsidRPr="00557C26" w:rsidR="00191239">
        <w:rPr>
          <w:sz w:val="21"/>
          <w:szCs w:val="21"/>
        </w:rPr>
        <w:t xml:space="preserve">, </w:t>
      </w:r>
      <w:r w:rsidRPr="00557C26" w:rsidR="00191239">
        <w:rPr>
          <w:sz w:val="21"/>
          <w:szCs w:val="21"/>
        </w:rPr>
        <w:t xml:space="preserve">the amount of the </w:t>
      </w:r>
      <w:r w:rsidRPr="00557C26" w:rsidR="00191239">
        <w:rPr>
          <w:b/>
          <w:sz w:val="21"/>
          <w:szCs w:val="21"/>
        </w:rPr>
        <w:t xml:space="preserve">annual pension adjustment </w:t>
      </w:r>
      <w:r w:rsidRPr="00557C26" w:rsidR="006126F6">
        <w:rPr>
          <w:b/>
          <w:sz w:val="21"/>
          <w:szCs w:val="21"/>
        </w:rPr>
        <w:t xml:space="preserve">(dynamic</w:t>
      </w:r>
      <w:r w:rsidRPr="00557C26" w:rsidR="00EE7D30">
        <w:rPr>
          <w:b/>
          <w:sz w:val="21"/>
          <w:szCs w:val="21"/>
        </w:rPr>
        <w:t xml:space="preserve">) </w:t>
      </w:r>
      <w:r w:rsidRPr="00557C26" w:rsidR="00EE7D30">
        <w:rPr>
          <w:sz w:val="21"/>
          <w:szCs w:val="21"/>
        </w:rPr>
        <w:t xml:space="preserve">or </w:t>
      </w:r>
      <w:r w:rsidR="00DF7DF8">
        <w:rPr>
          <w:sz w:val="21"/>
          <w:szCs w:val="21"/>
        </w:rPr>
        <w:t xml:space="preserve">the </w:t>
      </w:r>
      <w:r w:rsidRPr="00557C26" w:rsidR="00191239">
        <w:rPr>
          <w:b/>
          <w:sz w:val="21"/>
          <w:szCs w:val="21"/>
        </w:rPr>
        <w:t xml:space="preserve">scope of benefits </w:t>
      </w:r>
      <w:r w:rsidRPr="00557C26" w:rsidR="00191239">
        <w:rPr>
          <w:sz w:val="21"/>
          <w:szCs w:val="21"/>
        </w:rPr>
        <w:t xml:space="preserve">(old-age, invalidity and surviving dependants' pensions) </w:t>
      </w:r>
      <w:r w:rsidR="00DF7DF8">
        <w:rPr>
          <w:sz w:val="21"/>
          <w:szCs w:val="21"/>
        </w:rPr>
        <w:t xml:space="preserve">may </w:t>
      </w:r>
      <w:r w:rsidR="00DF7DF8">
        <w:rPr>
          <w:sz w:val="21"/>
          <w:szCs w:val="21"/>
        </w:rPr>
        <w:t xml:space="preserve">differ. </w:t>
      </w:r>
      <w:r w:rsidRPr="00557C26" w:rsidR="00191239">
        <w:rPr>
          <w:sz w:val="21"/>
          <w:szCs w:val="21"/>
        </w:rPr>
        <w:t xml:space="preserve">For this reason, the legislator has stipulated that</w:t>
      </w:r>
      <w:r w:rsidRPr="00557C26" w:rsidR="00191239">
        <w:rPr>
          <w:b/>
          <w:sz w:val="21"/>
          <w:szCs w:val="21"/>
        </w:rPr>
        <w:t xml:space="preserve">, as a rule, </w:t>
      </w:r>
      <w:r w:rsidRPr="00557C26" w:rsidR="00191239">
        <w:rPr>
          <w:b/>
          <w:sz w:val="21"/>
          <w:szCs w:val="21"/>
          <w:u w:val="single"/>
        </w:rPr>
        <w:t xml:space="preserve">each individual </w:t>
      </w:r>
      <w:r w:rsidRPr="00557C26" w:rsidR="00191239">
        <w:rPr>
          <w:b/>
          <w:sz w:val="21"/>
          <w:szCs w:val="21"/>
        </w:rPr>
        <w:t xml:space="preserve">pension acquired during the marriage should be "shared internally" with its share from the marriage</w:t>
      </w:r>
      <w:r w:rsidRPr="00557C26" w:rsidR="00191239">
        <w:rPr>
          <w:sz w:val="21"/>
          <w:szCs w:val="21"/>
        </w:rPr>
        <w:t xml:space="preserve">. </w:t>
      </w:r>
      <w:r w:rsidRPr="00557C26" w:rsidR="00191239">
        <w:rPr>
          <w:sz w:val="21"/>
          <w:szCs w:val="21"/>
        </w:rPr>
        <w:t xml:space="preserve">This means </w:t>
      </w:r>
      <w:r w:rsidRPr="00557C26" w:rsidR="00EB042B">
        <w:rPr>
          <w:sz w:val="21"/>
          <w:szCs w:val="21"/>
        </w:rPr>
        <w:t xml:space="preserve">that </w:t>
      </w:r>
      <w:r w:rsidRPr="00557C26" w:rsidR="00191239">
        <w:rPr>
          <w:sz w:val="21"/>
          <w:szCs w:val="21"/>
        </w:rPr>
        <w:t xml:space="preserve">the holder of the pension loses half </w:t>
      </w:r>
      <w:r w:rsidRPr="00557C26">
        <w:rPr>
          <w:sz w:val="21"/>
          <w:szCs w:val="21"/>
        </w:rPr>
        <w:t xml:space="preserve">of his or her pension acquired in the respective pension scheme during the marriage and a pension is established in favour of the other spouse from the equalisation value with the pension provider with which the pension to be equalised existed, under the pension conditions on which the pension to be equalised was based</w:t>
      </w:r>
    </w:p>
    <w:p w:rsidRPr="00557C26" w:rsidR="00191239" w:rsidP="00D32C04" w:rsidRDefault="00EB042B" w14:paraId="3E622D02" w14:textId="77777777">
      <w:pPr>
        <w:numPr>
          <w:ilvl w:val="0"/>
          <w:numId w:val="0"/>
        </w:numPr>
        <w:rPr>
          <w:sz w:val="21"/>
          <w:szCs w:val="21"/>
        </w:rPr>
      </w:pPr>
      <w:r w:rsidRPr="00557C26">
        <w:rPr>
          <w:sz w:val="21"/>
          <w:szCs w:val="21"/>
        </w:rPr>
        <w:t xml:space="preserve">Unfortunately, however, every rule has exceptions</w:t>
      </w:r>
      <w:r w:rsidRPr="00557C26" w:rsidR="00611EB1">
        <w:rPr>
          <w:sz w:val="21"/>
          <w:szCs w:val="21"/>
        </w:rPr>
        <w:t xml:space="preserve">:</w:t>
      </w:r>
    </w:p>
    <w:p w:rsidRPr="00557C26" w:rsidR="00CE7040" w:rsidP="00D32C04" w:rsidRDefault="00611EB1" w14:paraId="57658482" w14:textId="405B4F7E">
      <w:pPr>
        <w:numPr>
          <w:ilvl w:val="0"/>
          <w:numId w:val="0"/>
        </w:numPr>
        <w:rPr>
          <w:sz w:val="21"/>
          <w:szCs w:val="21"/>
        </w:rPr>
      </w:pPr>
      <w:r w:rsidRPr="00557C26">
        <w:rPr>
          <w:b/>
          <w:sz w:val="21"/>
          <w:szCs w:val="21"/>
        </w:rPr>
        <w:t xml:space="preserve">Minor pensions</w:t>
      </w:r>
      <w:r w:rsidRPr="00557C26">
        <w:rPr>
          <w:sz w:val="21"/>
          <w:szCs w:val="21"/>
        </w:rPr>
        <w:t xml:space="preserve">, i.e. very small pensions, </w:t>
      </w:r>
      <w:r w:rsidRPr="00557C26">
        <w:rPr>
          <w:b/>
          <w:sz w:val="21"/>
          <w:szCs w:val="21"/>
        </w:rPr>
        <w:t xml:space="preserve">should not be equalised </w:t>
      </w:r>
      <w:r w:rsidRPr="00557C26">
        <w:rPr>
          <w:sz w:val="21"/>
          <w:szCs w:val="21"/>
        </w:rPr>
        <w:t xml:space="preserve">(§ </w:t>
      </w:r>
      <w:r w:rsidRPr="00557C26">
        <w:rPr>
          <w:sz w:val="21"/>
          <w:szCs w:val="21"/>
        </w:rPr>
        <w:t xml:space="preserve">18 VersAusglG)</w:t>
      </w:r>
      <w:r w:rsidRPr="00557C26" w:rsidR="00E96577">
        <w:rPr>
          <w:sz w:val="21"/>
          <w:szCs w:val="21"/>
        </w:rPr>
        <w:t xml:space="preserve">.</w:t>
      </w:r>
      <w:r w:rsidRPr="00557C26" w:rsidR="00EE7D30">
        <w:rPr>
          <w:sz w:val="21"/>
          <w:szCs w:val="21"/>
        </w:rPr>
        <w:t xml:space="preserve"> The limits are currently €35.35 as a pension amount and €4,242 as a capital value.</w:t>
      </w:r>
    </w:p>
    <w:p w:rsidR="00E96577" w:rsidP="00D32C04" w:rsidRDefault="00EE7D30" w14:paraId="6C9966CF" w14:textId="53C523A8">
      <w:pPr>
        <w:numPr>
          <w:ilvl w:val="0"/>
          <w:numId w:val="0"/>
        </w:numPr>
        <w:rPr>
          <w:sz w:val="21"/>
          <w:szCs w:val="21"/>
        </w:rPr>
      </w:pPr>
      <w:r w:rsidRPr="00557C26">
        <w:rPr>
          <w:b/>
          <w:sz w:val="21"/>
          <w:szCs w:val="21"/>
        </w:rPr>
        <w:t xml:space="preserve">If the equalisation value, i.e. half of the </w:t>
      </w:r>
      <w:r w:rsidRPr="00557C26">
        <w:rPr>
          <w:b/>
          <w:sz w:val="21"/>
          <w:szCs w:val="21"/>
        </w:rPr>
        <w:t xml:space="preserve">entitlement </w:t>
      </w:r>
      <w:r w:rsidR="00DF7DF8">
        <w:rPr>
          <w:b/>
          <w:sz w:val="21"/>
          <w:szCs w:val="21"/>
        </w:rPr>
        <w:t xml:space="preserve">acquired </w:t>
      </w:r>
      <w:r w:rsidRPr="00557C26">
        <w:rPr>
          <w:b/>
          <w:sz w:val="21"/>
          <w:szCs w:val="21"/>
        </w:rPr>
        <w:t xml:space="preserve">during the marriage</w:t>
      </w:r>
      <w:r w:rsidRPr="00557C26">
        <w:rPr>
          <w:b/>
          <w:sz w:val="21"/>
          <w:szCs w:val="21"/>
        </w:rPr>
        <w:t xml:space="preserve">,</w:t>
      </w:r>
      <w:r w:rsidRPr="00557C26">
        <w:rPr>
          <w:b/>
          <w:sz w:val="21"/>
          <w:szCs w:val="21"/>
        </w:rPr>
        <w:t xml:space="preserve"> falls below </w:t>
      </w:r>
      <w:r w:rsidRPr="00557C26">
        <w:rPr>
          <w:b/>
          <w:sz w:val="21"/>
          <w:szCs w:val="21"/>
        </w:rPr>
        <w:t xml:space="preserve">certain limits (</w:t>
      </w:r>
      <w:r w:rsidRPr="00557C26" w:rsidR="00C9453F">
        <w:rPr>
          <w:sz w:val="21"/>
          <w:szCs w:val="21"/>
        </w:rPr>
        <w:t xml:space="preserve">pension: €70.70, capital: €8,484), </w:t>
      </w:r>
      <w:r w:rsidRPr="00557C26" w:rsidR="00E96577">
        <w:rPr>
          <w:sz w:val="21"/>
          <w:szCs w:val="21"/>
        </w:rPr>
        <w:t xml:space="preserve">occupational </w:t>
      </w:r>
      <w:r w:rsidRPr="00557C26" w:rsidR="00E74A2F">
        <w:rPr>
          <w:sz w:val="21"/>
          <w:szCs w:val="21"/>
        </w:rPr>
        <w:t xml:space="preserve">pension providers (pension funds, pension funds, direct insurance policies) or </w:t>
      </w:r>
      <w:r w:rsidRPr="00557C26" w:rsidR="00E96577">
        <w:rPr>
          <w:sz w:val="21"/>
          <w:szCs w:val="21"/>
        </w:rPr>
        <w:t xml:space="preserve">private </w:t>
      </w:r>
      <w:r w:rsidRPr="00557C26" w:rsidR="00E74A2F">
        <w:rPr>
          <w:sz w:val="21"/>
          <w:szCs w:val="21"/>
        </w:rPr>
        <w:t xml:space="preserve">insurance companies </w:t>
      </w:r>
      <w:r w:rsidRPr="00557C26">
        <w:rPr>
          <w:sz w:val="21"/>
          <w:szCs w:val="21"/>
        </w:rPr>
        <w:t xml:space="preserve">can </w:t>
      </w:r>
      <w:r w:rsidRPr="00557C26" w:rsidR="00E74A2F">
        <w:rPr>
          <w:sz w:val="21"/>
          <w:szCs w:val="21"/>
        </w:rPr>
        <w:t xml:space="preserve">request </w:t>
      </w:r>
      <w:r w:rsidRPr="00557C26" w:rsidR="00E74A2F">
        <w:rPr>
          <w:sz w:val="21"/>
          <w:szCs w:val="21"/>
        </w:rPr>
        <w:t xml:space="preserve">an </w:t>
      </w:r>
      <w:r w:rsidRPr="00557C26" w:rsidR="00E96577">
        <w:rPr>
          <w:sz w:val="21"/>
          <w:szCs w:val="21"/>
        </w:rPr>
        <w:t xml:space="preserve">"</w:t>
      </w:r>
      <w:r w:rsidRPr="00557C26" w:rsidR="00E74A2F">
        <w:rPr>
          <w:sz w:val="21"/>
          <w:szCs w:val="21"/>
        </w:rPr>
        <w:t xml:space="preserve">external division</w:t>
      </w:r>
      <w:r w:rsidRPr="00557C26" w:rsidR="00E96577">
        <w:rPr>
          <w:sz w:val="21"/>
          <w:szCs w:val="21"/>
        </w:rPr>
        <w:t xml:space="preserve">"</w:t>
      </w:r>
      <w:r w:rsidRPr="00557C26" w:rsidR="00E74A2F">
        <w:rPr>
          <w:sz w:val="21"/>
          <w:szCs w:val="21"/>
        </w:rPr>
        <w:t xml:space="preserve">. </w:t>
      </w:r>
      <w:r w:rsidRPr="00557C26" w:rsidR="00E74A2F">
        <w:rPr>
          <w:sz w:val="21"/>
          <w:szCs w:val="21"/>
        </w:rPr>
        <w:t xml:space="preserve">In this case, the equalisation value is </w:t>
      </w:r>
      <w:r w:rsidRPr="00557C26" w:rsidR="00E74A2F">
        <w:rPr>
          <w:sz w:val="21"/>
          <w:szCs w:val="21"/>
        </w:rPr>
        <w:t xml:space="preserve">transferred </w:t>
      </w:r>
      <w:r w:rsidRPr="00557C26" w:rsidR="00E96577">
        <w:rPr>
          <w:sz w:val="21"/>
          <w:szCs w:val="21"/>
        </w:rPr>
        <w:t xml:space="preserve">as a lump sum </w:t>
      </w:r>
      <w:r w:rsidRPr="00557C26" w:rsidR="00E74A2F">
        <w:rPr>
          <w:sz w:val="21"/>
          <w:szCs w:val="21"/>
        </w:rPr>
        <w:t xml:space="preserve">to a </w:t>
      </w:r>
      <w:r w:rsidRPr="00557C26" w:rsidR="00E74A2F">
        <w:rPr>
          <w:sz w:val="21"/>
          <w:szCs w:val="21"/>
        </w:rPr>
        <w:t xml:space="preserve">"target pension provider" </w:t>
      </w:r>
      <w:r w:rsidRPr="00557C26" w:rsidR="00E96577">
        <w:rPr>
          <w:sz w:val="21"/>
          <w:szCs w:val="21"/>
        </w:rPr>
        <w:t xml:space="preserve">to be determined by the person entitled to equalisation </w:t>
      </w:r>
      <w:r w:rsidRPr="00557C26" w:rsidR="00E96577">
        <w:rPr>
          <w:sz w:val="21"/>
          <w:szCs w:val="21"/>
        </w:rPr>
        <w:t xml:space="preserve">(usually </w:t>
      </w:r>
      <w:r w:rsidRPr="00557C26" w:rsidR="00E74A2F">
        <w:rPr>
          <w:sz w:val="21"/>
          <w:szCs w:val="21"/>
        </w:rPr>
        <w:t xml:space="preserve">the </w:t>
      </w:r>
      <w:r w:rsidRPr="00557C26" w:rsidR="00E96577">
        <w:rPr>
          <w:sz w:val="21"/>
          <w:szCs w:val="21"/>
        </w:rPr>
        <w:t xml:space="preserve">DRV)</w:t>
      </w:r>
      <w:r w:rsidRPr="00557C26" w:rsidR="00C9453F">
        <w:rPr>
          <w:sz w:val="21"/>
          <w:szCs w:val="21"/>
        </w:rPr>
        <w:t xml:space="preserve">.</w:t>
      </w:r>
    </w:p>
    <w:p w:rsidRPr="003C6EFE" w:rsidR="003C6EFE" w:rsidP="003C6EFE" w:rsidRDefault="003C6EFE" w14:paraId="637DAFB5" w14:textId="73F77CC1">
      <w:pPr>
        <w:pStyle w:val="berschrift1"/>
      </w:pPr>
      <w:bookmarkStart w:name="_Toc187309148" w:id="2"/>
      <w:r w:rsidRPr="003C6EFE">
        <w:t xml:space="preserve">Special features</w:t>
      </w:r>
      <w:bookmarkEnd w:id="2"/>
    </w:p>
    <w:p w:rsidR="00E74A2F" w:rsidP="00D32C04" w:rsidRDefault="00E74A2F" w14:paraId="3325193A" w14:textId="28A62B97">
      <w:pPr>
        <w:numPr>
          <w:ilvl w:val="0"/>
          <w:numId w:val="0"/>
        </w:numPr>
        <w:rPr>
          <w:b/>
          <w:bCs/>
          <w:sz w:val="21"/>
          <w:szCs w:val="21"/>
        </w:rPr>
      </w:pPr>
      <w:r w:rsidRPr="00557C26">
        <w:rPr>
          <w:b/>
          <w:bCs/>
          <w:sz w:val="21"/>
          <w:szCs w:val="21"/>
        </w:rPr>
        <w:t xml:space="preserve">I would like to point out a few special features in advance:</w:t>
      </w:r>
    </w:p>
    <w:p w:rsidRPr="003C6EFE" w:rsidR="003C6EFE" w:rsidP="003C6EFE" w:rsidRDefault="003C6EFE" w14:paraId="03349D26" w14:textId="62E3EF27">
      <w:pPr>
        <w:pStyle w:val="berschrift2"/>
      </w:pPr>
      <w:bookmarkStart w:name="_Toc187309149" w:id="3"/>
      <w:r w:rsidRPr="003C6EFE">
        <w:t xml:space="preserve">State and municipal civil servants</w:t>
      </w:r>
      <w:bookmarkEnd w:id="3"/>
    </w:p>
    <w:p w:rsidR="0096797F" w:rsidP="007F6737" w:rsidRDefault="003838EB" w14:paraId="540A0F81" w14:textId="75FC59D9">
      <w:pPr>
        <w:numPr>
          <w:ilvl w:val="0"/>
          <w:numId w:val="0"/>
        </w:numPr>
        <w:ind w:start="397" w:hanging="397"/>
        <w:rPr>
          <w:sz w:val="21"/>
          <w:szCs w:val="21"/>
        </w:rPr>
      </w:pPr>
      <w:r w:rsidRPr="00557C26">
        <w:rPr>
          <w:rFonts w:cs="Arial"/>
          <w:sz w:val="21"/>
          <w:szCs w:val="21"/>
        </w:rPr>
        <w:t>&gt;</w:t>
      </w:r>
      <w:r w:rsidRPr="00557C26">
        <w:rPr>
          <w:sz w:val="21"/>
          <w:szCs w:val="21"/>
        </w:rPr>
        <w:tab/>
      </w:r>
      <w:r w:rsidRPr="00557C26" w:rsidR="009650D4">
        <w:rPr>
          <w:sz w:val="21"/>
          <w:szCs w:val="21"/>
        </w:rPr>
        <w:t xml:space="preserve">The </w:t>
      </w:r>
      <w:r w:rsidRPr="00557C26" w:rsidR="009650D4">
        <w:rPr>
          <w:b/>
          <w:sz w:val="21"/>
          <w:szCs w:val="21"/>
        </w:rPr>
        <w:t xml:space="preserve">pensions of state and municipal civil servants </w:t>
      </w:r>
      <w:r w:rsidRPr="00557C26" w:rsidR="009650D4">
        <w:rPr>
          <w:sz w:val="21"/>
          <w:szCs w:val="21"/>
        </w:rPr>
        <w:t xml:space="preserve">are shared </w:t>
      </w:r>
      <w:r w:rsidRPr="00557C26" w:rsidR="009650D4">
        <w:rPr>
          <w:sz w:val="21"/>
          <w:szCs w:val="21"/>
        </w:rPr>
        <w:t xml:space="preserve">"</w:t>
      </w:r>
      <w:r w:rsidRPr="00557C26" w:rsidR="009650D4">
        <w:rPr>
          <w:b/>
          <w:sz w:val="21"/>
          <w:szCs w:val="21"/>
        </w:rPr>
        <w:t xml:space="preserve">externally</w:t>
      </w:r>
      <w:r w:rsidRPr="00557C26" w:rsidR="009650D4">
        <w:rPr>
          <w:sz w:val="21"/>
          <w:szCs w:val="21"/>
        </w:rPr>
        <w:t xml:space="preserve">". This means that half of the pension accrued by one spouse during the marriage from these pension schemes is credited to the German Pension Insurance (DRV) in favour of the other spouse. This does not result in any disadvantage for the person entitled to equalisation, as the pension increases (dynamics) of the two pension systems are almost identical on average over many years.</w:t>
      </w:r>
    </w:p>
    <w:p w:rsidRPr="003C6EFE" w:rsidR="003C6EFE" w:rsidP="003C6EFE" w:rsidRDefault="003C6EFE" w14:paraId="57C16E7B" w14:textId="522D7FD0">
      <w:pPr>
        <w:pStyle w:val="berschrift2"/>
      </w:pPr>
      <w:bookmarkStart w:name="_Toc187309150" w:id="4"/>
      <w:r w:rsidRPr="003C6EFE">
        <w:t xml:space="preserve">Federal civil servants, soldiers and federal judges</w:t>
      </w:r>
      <w:bookmarkEnd w:id="4"/>
    </w:p>
    <w:p w:rsidR="00C9453F" w:rsidP="007F6737" w:rsidRDefault="003838EB" w14:paraId="2101AEE4" w14:textId="69FE8980">
      <w:pPr>
        <w:numPr>
          <w:ilvl w:val="0"/>
          <w:numId w:val="0"/>
        </w:numPr>
        <w:ind w:start="397" w:hanging="397"/>
        <w:rPr>
          <w:sz w:val="21"/>
          <w:szCs w:val="21"/>
        </w:rPr>
      </w:pPr>
      <w:r w:rsidRPr="00557C26">
        <w:rPr>
          <w:rFonts w:cs="Arial"/>
          <w:sz w:val="21"/>
          <w:szCs w:val="21"/>
        </w:rPr>
        <w:t>&gt;</w:t>
      </w:r>
      <w:r w:rsidRPr="00557C26">
        <w:rPr>
          <w:sz w:val="21"/>
          <w:szCs w:val="21"/>
        </w:rPr>
        <w:tab/>
      </w:r>
      <w:r w:rsidRPr="00557C26" w:rsidR="00C9453F">
        <w:rPr>
          <w:sz w:val="21"/>
          <w:szCs w:val="21"/>
        </w:rPr>
        <w:t xml:space="preserve">Pensions of </w:t>
      </w:r>
      <w:r w:rsidRPr="00557C26" w:rsidR="00C9453F">
        <w:rPr>
          <w:b/>
          <w:sz w:val="21"/>
          <w:szCs w:val="21"/>
        </w:rPr>
        <w:t xml:space="preserve">federal civil servants, soldiers and federal judges </w:t>
      </w:r>
      <w:r w:rsidRPr="00557C26" w:rsidR="00C9453F">
        <w:rPr>
          <w:sz w:val="21"/>
          <w:szCs w:val="21"/>
        </w:rPr>
        <w:t xml:space="preserve">are </w:t>
      </w:r>
      <w:r w:rsidRPr="00557C26" w:rsidR="00C9453F">
        <w:rPr>
          <w:sz w:val="21"/>
          <w:szCs w:val="21"/>
        </w:rPr>
        <w:t xml:space="preserve">shared </w:t>
      </w:r>
      <w:r w:rsidRPr="00557C26" w:rsidR="00C9453F">
        <w:rPr>
          <w:b/>
          <w:sz w:val="21"/>
          <w:szCs w:val="21"/>
        </w:rPr>
        <w:t xml:space="preserve">internally</w:t>
      </w:r>
      <w:r w:rsidRPr="00557C26" w:rsidR="00C9453F">
        <w:rPr>
          <w:sz w:val="21"/>
          <w:szCs w:val="21"/>
        </w:rPr>
        <w:t xml:space="preserve">, and the person entitled to equalisation thus receives a pension entitlement under civil service law.</w:t>
      </w:r>
    </w:p>
    <w:p w:rsidRPr="003C6EFE" w:rsidR="003C6EFE" w:rsidP="003C6EFE" w:rsidRDefault="003C6EFE" w14:paraId="72DD8416" w14:textId="5571A53E">
      <w:pPr>
        <w:pStyle w:val="berschrift2"/>
      </w:pPr>
      <w:bookmarkStart w:name="_Toc187309151" w:id="5"/>
      <w:r w:rsidRPr="003C6EFE">
        <w:t xml:space="preserve">Professional pension schemes</w:t>
      </w:r>
      <w:bookmarkEnd w:id="5"/>
    </w:p>
    <w:p w:rsidR="0017767A" w:rsidP="007F6737" w:rsidRDefault="003838EB" w14:paraId="589F314D" w14:textId="40ED372B">
      <w:pPr>
        <w:numPr>
          <w:ilvl w:val="0"/>
          <w:numId w:val="0"/>
        </w:numPr>
        <w:ind w:start="397" w:hanging="397"/>
        <w:rPr>
          <w:sz w:val="21"/>
          <w:szCs w:val="21"/>
        </w:rPr>
      </w:pPr>
      <w:r w:rsidRPr="00557C26">
        <w:rPr>
          <w:rFonts w:cs="Arial"/>
          <w:sz w:val="21"/>
          <w:szCs w:val="21"/>
        </w:rPr>
        <w:t>&gt;</w:t>
      </w:r>
      <w:r w:rsidRPr="00557C26">
        <w:rPr>
          <w:sz w:val="21"/>
          <w:szCs w:val="21"/>
        </w:rPr>
        <w:tab/>
      </w:r>
      <w:r w:rsidRPr="00557C26" w:rsidR="0017767A">
        <w:rPr>
          <w:b/>
          <w:sz w:val="21"/>
          <w:szCs w:val="21"/>
        </w:rPr>
        <w:t xml:space="preserve">The pensions of professional pension schemes, </w:t>
      </w:r>
      <w:r w:rsidRPr="00557C26" w:rsidR="0017767A">
        <w:rPr>
          <w:sz w:val="21"/>
          <w:szCs w:val="21"/>
        </w:rPr>
        <w:t xml:space="preserve">such as those for doctors, lawyers, </w:t>
      </w:r>
      <w:r w:rsidRPr="00557C26" w:rsidR="006428BE">
        <w:rPr>
          <w:sz w:val="21"/>
          <w:szCs w:val="21"/>
        </w:rPr>
        <w:t xml:space="preserve">architects</w:t>
      </w:r>
      <w:r w:rsidRPr="00557C26" w:rsidR="0017767A">
        <w:rPr>
          <w:sz w:val="21"/>
          <w:szCs w:val="21"/>
        </w:rPr>
        <w:t xml:space="preserve">, etc., are always </w:t>
      </w:r>
      <w:r w:rsidRPr="00557C26" w:rsidR="0017767A">
        <w:rPr>
          <w:sz w:val="21"/>
          <w:szCs w:val="21"/>
        </w:rPr>
        <w:t xml:space="preserve">shared </w:t>
      </w:r>
      <w:r w:rsidRPr="00557C26" w:rsidR="0017767A">
        <w:rPr>
          <w:b/>
          <w:sz w:val="21"/>
          <w:szCs w:val="21"/>
        </w:rPr>
        <w:t xml:space="preserve">internally </w:t>
      </w:r>
      <w:r w:rsidRPr="00557C26" w:rsidR="0017767A">
        <w:rPr>
          <w:sz w:val="21"/>
          <w:szCs w:val="21"/>
        </w:rPr>
        <w:t xml:space="preserve">with the result that the person entitled to equalisation receives a pension within this professional pension scheme in the amount of half of the pension acquired during the marriage, but in these</w:t>
      </w:r>
      <w:r w:rsidRPr="00557C26" w:rsidR="0017767A">
        <w:rPr>
          <w:sz w:val="21"/>
          <w:szCs w:val="21"/>
        </w:rPr>
        <w:lastRenderedPageBreak/>
      </w:r>
      <w:r w:rsidRPr="00557C26" w:rsidR="0017767A">
        <w:rPr>
          <w:sz w:val="21"/>
          <w:szCs w:val="21"/>
        </w:rPr>
        <w:t xml:space="preserve"> pension schemes the invalidity and survivors' pension is often </w:t>
      </w:r>
      <w:r w:rsidRPr="00557C26" w:rsidR="0017767A">
        <w:rPr>
          <w:sz w:val="21"/>
          <w:szCs w:val="21"/>
        </w:rPr>
        <w:t xml:space="preserve">not </w:t>
      </w:r>
      <w:r w:rsidRPr="00557C26" w:rsidR="0017767A">
        <w:rPr>
          <w:sz w:val="21"/>
          <w:szCs w:val="21"/>
        </w:rPr>
        <w:t xml:space="preserve">paid for the person entitled to equalisation. A supplement to the retirement pension is paid to compensate for this.</w:t>
      </w:r>
    </w:p>
    <w:p w:rsidRPr="00557C26" w:rsidR="003C6EFE" w:rsidP="003C6EFE" w:rsidRDefault="003C6EFE" w14:paraId="3E4A4BCF" w14:textId="434B265B">
      <w:pPr>
        <w:pStyle w:val="berschrift2"/>
      </w:pPr>
      <w:bookmarkStart w:name="_Toc187309152" w:id="6"/>
      <w:r w:rsidRPr="00557C26">
        <w:t xml:space="preserve">Occupational pensions</w:t>
      </w:r>
      <w:bookmarkEnd w:id="6"/>
    </w:p>
    <w:p w:rsidR="00876F71" w:rsidP="007F6737" w:rsidRDefault="003838EB" w14:paraId="6E3333F5" w14:textId="5AFCA233">
      <w:pPr>
        <w:numPr>
          <w:ilvl w:val="0"/>
          <w:numId w:val="0"/>
        </w:numPr>
        <w:ind w:start="397" w:hanging="397"/>
        <w:rPr>
          <w:sz w:val="21"/>
          <w:szCs w:val="21"/>
        </w:rPr>
      </w:pPr>
      <w:r w:rsidRPr="00557C26">
        <w:rPr>
          <w:rFonts w:cs="Arial"/>
          <w:sz w:val="21"/>
          <w:szCs w:val="21"/>
        </w:rPr>
        <w:t>&gt;</w:t>
      </w:r>
      <w:r w:rsidRPr="00557C26">
        <w:rPr>
          <w:sz w:val="21"/>
          <w:szCs w:val="21"/>
        </w:rPr>
        <w:tab/>
      </w:r>
      <w:r w:rsidRPr="00557C26" w:rsidR="0017767A">
        <w:rPr>
          <w:b/>
          <w:sz w:val="21"/>
          <w:szCs w:val="21"/>
        </w:rPr>
        <w:t xml:space="preserve">Company pensions </w:t>
      </w:r>
      <w:r w:rsidRPr="00557C26" w:rsidR="0017767A">
        <w:rPr>
          <w:sz w:val="21"/>
          <w:szCs w:val="21"/>
        </w:rPr>
        <w:t xml:space="preserve">are usually </w:t>
      </w:r>
      <w:r w:rsidRPr="00557C26" w:rsidR="0017767A">
        <w:rPr>
          <w:sz w:val="21"/>
          <w:szCs w:val="21"/>
        </w:rPr>
        <w:t xml:space="preserve">divided </w:t>
      </w:r>
      <w:r w:rsidRPr="00557C26" w:rsidR="0017767A">
        <w:rPr>
          <w:b/>
          <w:sz w:val="21"/>
          <w:szCs w:val="21"/>
        </w:rPr>
        <w:t xml:space="preserve">internally</w:t>
      </w:r>
      <w:r w:rsidRPr="00557C26" w:rsidR="0017767A">
        <w:rPr>
          <w:sz w:val="21"/>
          <w:szCs w:val="21"/>
        </w:rPr>
        <w:t xml:space="preserve">. </w:t>
      </w:r>
      <w:r w:rsidRPr="00557C26" w:rsidR="0017767A">
        <w:rPr>
          <w:sz w:val="21"/>
          <w:szCs w:val="21"/>
        </w:rPr>
        <w:t xml:space="preserve">The spouse entitled to </w:t>
      </w:r>
      <w:r w:rsidRPr="00557C26" w:rsidR="00ED5D1B">
        <w:rPr>
          <w:sz w:val="21"/>
          <w:szCs w:val="21"/>
        </w:rPr>
        <w:t xml:space="preserve">equalisation</w:t>
      </w:r>
      <w:r w:rsidRPr="00557C26" w:rsidR="0017767A">
        <w:rPr>
          <w:sz w:val="21"/>
          <w:szCs w:val="21"/>
        </w:rPr>
        <w:t xml:space="preserve"> then receives half </w:t>
      </w:r>
      <w:r w:rsidRPr="00557C26" w:rsidR="0017767A">
        <w:rPr>
          <w:sz w:val="21"/>
          <w:szCs w:val="21"/>
        </w:rPr>
        <w:t xml:space="preserve">of the pension </w:t>
      </w:r>
      <w:r w:rsidRPr="00557C26" w:rsidR="0017767A">
        <w:rPr>
          <w:sz w:val="21"/>
          <w:szCs w:val="21"/>
        </w:rPr>
        <w:t xml:space="preserve">entitlement acquired during </w:t>
      </w:r>
      <w:r w:rsidRPr="00557C26" w:rsidR="0017767A">
        <w:rPr>
          <w:sz w:val="21"/>
          <w:szCs w:val="21"/>
        </w:rPr>
        <w:t xml:space="preserve">the marriage</w:t>
      </w:r>
      <w:r w:rsidRPr="00557C26" w:rsidR="0017767A">
        <w:rPr>
          <w:sz w:val="21"/>
          <w:szCs w:val="21"/>
        </w:rPr>
        <w:t xml:space="preserve">. </w:t>
      </w:r>
      <w:r w:rsidRPr="00557C26" w:rsidR="006428BE">
        <w:rPr>
          <w:sz w:val="21"/>
          <w:szCs w:val="21"/>
        </w:rPr>
        <w:t xml:space="preserve">The </w:t>
      </w:r>
      <w:r w:rsidRPr="00557C26" w:rsidR="0017767A">
        <w:rPr>
          <w:sz w:val="21"/>
          <w:szCs w:val="21"/>
        </w:rPr>
        <w:t xml:space="preserve">spouse entitled to equalisation then receives half of the pension entitlement acquired during the marriage </w:t>
      </w:r>
      <w:r w:rsidRPr="00557C26" w:rsidR="006428BE">
        <w:rPr>
          <w:sz w:val="21"/>
          <w:szCs w:val="21"/>
        </w:rPr>
        <w:t xml:space="preserve">and acquires the status of a retired employee</w:t>
      </w:r>
      <w:r w:rsidRPr="00557C26" w:rsidR="0017767A">
        <w:rPr>
          <w:sz w:val="21"/>
          <w:szCs w:val="21"/>
        </w:rPr>
        <w:t xml:space="preserve">, i.e. becomes a "company pensioner". Even if the "internal division" of company pensions is the rule, company pension providers </w:t>
      </w:r>
      <w:r w:rsidRPr="00557C26" w:rsidR="006428BE">
        <w:rPr>
          <w:sz w:val="21"/>
          <w:szCs w:val="21"/>
        </w:rPr>
        <w:t xml:space="preserve">occasionally </w:t>
      </w:r>
      <w:r w:rsidRPr="00557C26" w:rsidR="0017767A">
        <w:rPr>
          <w:sz w:val="21"/>
          <w:szCs w:val="21"/>
        </w:rPr>
        <w:t xml:space="preserve">also </w:t>
      </w:r>
      <w:r w:rsidRPr="00557C26" w:rsidR="0017767A">
        <w:rPr>
          <w:sz w:val="21"/>
          <w:szCs w:val="21"/>
        </w:rPr>
        <w:t xml:space="preserve">offer the "external division" of pensions </w:t>
      </w:r>
      <w:r w:rsidRPr="00557C26" w:rsidR="006428BE">
        <w:rPr>
          <w:sz w:val="21"/>
          <w:szCs w:val="21"/>
        </w:rPr>
        <w:t xml:space="preserve">if the statutory limits </w:t>
      </w:r>
      <w:r w:rsidR="00A96B43">
        <w:rPr>
          <w:sz w:val="21"/>
          <w:szCs w:val="21"/>
        </w:rPr>
        <w:t xml:space="preserve">(currently € 70.70 pension or € 8,484 capital) </w:t>
      </w:r>
      <w:r w:rsidRPr="00557C26" w:rsidR="006428BE">
        <w:rPr>
          <w:sz w:val="21"/>
          <w:szCs w:val="21"/>
        </w:rPr>
        <w:t xml:space="preserve">are exceeded</w:t>
      </w:r>
      <w:r w:rsidRPr="00557C26" w:rsidR="0017767A">
        <w:rPr>
          <w:sz w:val="21"/>
          <w:szCs w:val="21"/>
        </w:rPr>
        <w:t xml:space="preserve">.  </w:t>
      </w:r>
      <w:r w:rsidR="00DF7DF8">
        <w:rPr>
          <w:sz w:val="21"/>
          <w:szCs w:val="21"/>
        </w:rPr>
        <w:t xml:space="preserve">In these cases, the person entitled to equalisation must check </w:t>
      </w:r>
      <w:r w:rsidR="00935447">
        <w:rPr>
          <w:sz w:val="21"/>
          <w:szCs w:val="21"/>
        </w:rPr>
        <w:t xml:space="preserve">whether the external division leads to an appropriate pension income for them. As a rule, this will </w:t>
      </w:r>
      <w:r w:rsidR="00DB569F">
        <w:rPr>
          <w:sz w:val="21"/>
          <w:szCs w:val="21"/>
        </w:rPr>
        <w:t xml:space="preserve">be the case if the court obliges the pension provider to </w:t>
      </w:r>
      <w:r w:rsidR="00DB569F">
        <w:rPr>
          <w:sz w:val="21"/>
          <w:szCs w:val="21"/>
        </w:rPr>
        <w:t xml:space="preserve">pay </w:t>
      </w:r>
      <w:r w:rsidR="00DB569F">
        <w:rPr>
          <w:sz w:val="21"/>
          <w:szCs w:val="21"/>
        </w:rPr>
        <w:t xml:space="preserve">the equalisation value as a contribution to the </w:t>
      </w:r>
      <w:r w:rsidR="00935447">
        <w:rPr>
          <w:sz w:val="21"/>
          <w:szCs w:val="21"/>
        </w:rPr>
        <w:t xml:space="preserve">statutory pension insurance </w:t>
      </w:r>
      <w:r w:rsidR="00DB569F">
        <w:rPr>
          <w:sz w:val="21"/>
          <w:szCs w:val="21"/>
        </w:rPr>
        <w:t xml:space="preserve">for the person entitled to equalisation. </w:t>
      </w:r>
      <w:r w:rsidR="00935447">
        <w:rPr>
          <w:sz w:val="21"/>
          <w:szCs w:val="21"/>
        </w:rPr>
        <w:t xml:space="preserve">However, it always depends on the individual case.</w:t>
      </w:r>
    </w:p>
    <w:p w:rsidRPr="00557C26" w:rsidR="00C57B08" w:rsidP="00C57B08" w:rsidRDefault="00C57B08" w14:paraId="2529D331" w14:textId="5097C84E">
      <w:pPr>
        <w:pStyle w:val="berschrift2"/>
      </w:pPr>
      <w:bookmarkStart w:name="_Toc187309153" w:id="7"/>
      <w:r w:rsidRPr="00557C26">
        <w:t xml:space="preserve">Direct commitments</w:t>
      </w:r>
      <w:bookmarkEnd w:id="7"/>
    </w:p>
    <w:p w:rsidR="0017767A" w:rsidP="007F6737" w:rsidRDefault="003838EB" w14:paraId="3D5D27CE" w14:textId="522413C0">
      <w:pPr>
        <w:numPr>
          <w:ilvl w:val="0"/>
          <w:numId w:val="0"/>
        </w:numPr>
        <w:ind w:start="397" w:hanging="397"/>
        <w:rPr>
          <w:sz w:val="21"/>
          <w:szCs w:val="21"/>
        </w:rPr>
      </w:pPr>
      <w:r w:rsidRPr="00557C26">
        <w:rPr>
          <w:rFonts w:cs="Arial"/>
          <w:sz w:val="21"/>
          <w:szCs w:val="21"/>
        </w:rPr>
        <w:t>&gt;</w:t>
      </w:r>
      <w:r w:rsidRPr="00557C26">
        <w:rPr>
          <w:sz w:val="21"/>
          <w:szCs w:val="21"/>
        </w:rPr>
        <w:tab/>
      </w:r>
      <w:r w:rsidRPr="00557C26" w:rsidR="0017767A">
        <w:rPr>
          <w:sz w:val="21"/>
          <w:szCs w:val="21"/>
        </w:rPr>
        <w:t xml:space="preserve">However, </w:t>
      </w:r>
      <w:r w:rsidRPr="00557C26" w:rsidR="0017767A">
        <w:rPr>
          <w:b/>
          <w:sz w:val="21"/>
          <w:szCs w:val="21"/>
        </w:rPr>
        <w:t xml:space="preserve">company </w:t>
      </w:r>
      <w:r w:rsidRPr="00557C26" w:rsidR="006428BE">
        <w:rPr>
          <w:b/>
          <w:sz w:val="21"/>
          <w:szCs w:val="21"/>
        </w:rPr>
        <w:t xml:space="preserve">pension</w:t>
      </w:r>
      <w:r w:rsidRPr="00557C26" w:rsidR="0017767A">
        <w:rPr>
          <w:b/>
          <w:sz w:val="21"/>
          <w:szCs w:val="21"/>
        </w:rPr>
        <w:t xml:space="preserve"> entitlements </w:t>
      </w:r>
      <w:r w:rsidRPr="00557C26" w:rsidR="0017767A">
        <w:rPr>
          <w:sz w:val="21"/>
          <w:szCs w:val="21"/>
        </w:rPr>
        <w:t xml:space="preserve">from so-called </w:t>
      </w:r>
      <w:r w:rsidRPr="00557C26" w:rsidR="0017767A">
        <w:rPr>
          <w:b/>
          <w:sz w:val="21"/>
          <w:szCs w:val="21"/>
        </w:rPr>
        <w:t xml:space="preserve">direct commitments </w:t>
      </w:r>
      <w:r w:rsidRPr="00557C26" w:rsidR="0017767A">
        <w:rPr>
          <w:sz w:val="21"/>
          <w:szCs w:val="21"/>
        </w:rPr>
        <w:t xml:space="preserve">by the employer and from </w:t>
      </w:r>
      <w:r w:rsidRPr="00557C26" w:rsidR="0017767A">
        <w:rPr>
          <w:b/>
          <w:sz w:val="21"/>
          <w:szCs w:val="21"/>
        </w:rPr>
        <w:t xml:space="preserve">provident funds </w:t>
      </w:r>
      <w:r w:rsidRPr="00557C26" w:rsidR="0017767A">
        <w:rPr>
          <w:sz w:val="21"/>
          <w:szCs w:val="21"/>
        </w:rPr>
        <w:t xml:space="preserve">can </w:t>
      </w:r>
      <w:r w:rsidRPr="00557C26" w:rsidR="0017767A">
        <w:rPr>
          <w:sz w:val="21"/>
          <w:szCs w:val="21"/>
        </w:rPr>
        <w:t xml:space="preserve">be divided externally </w:t>
      </w:r>
      <w:r w:rsidRPr="00557C26" w:rsidR="006428BE">
        <w:rPr>
          <w:sz w:val="21"/>
          <w:szCs w:val="21"/>
        </w:rPr>
        <w:t xml:space="preserve">at the request of </w:t>
      </w:r>
      <w:r w:rsidRPr="00557C26" w:rsidR="0017767A">
        <w:rPr>
          <w:sz w:val="21"/>
          <w:szCs w:val="21"/>
        </w:rPr>
        <w:t xml:space="preserve">the pension provider up to a relatively high </w:t>
      </w:r>
      <w:r w:rsidRPr="00557C26" w:rsidR="006428BE">
        <w:rPr>
          <w:sz w:val="21"/>
          <w:szCs w:val="21"/>
        </w:rPr>
        <w:t xml:space="preserve">equalisation value </w:t>
      </w:r>
      <w:r w:rsidRPr="00557C26" w:rsidR="0017767A">
        <w:rPr>
          <w:sz w:val="21"/>
          <w:szCs w:val="21"/>
        </w:rPr>
        <w:t xml:space="preserve">(currently € 90,600). However, the person entitled to equalisation does not receive this amount. Instead, this equalisation amount must be paid into another pension scheme (target pension). As a rule, the statutory pension insurance scheme (DRV) is the </w:t>
      </w:r>
      <w:r w:rsidRPr="00557C26" w:rsidR="006428BE">
        <w:rPr>
          <w:sz w:val="21"/>
          <w:szCs w:val="21"/>
        </w:rPr>
        <w:t xml:space="preserve">appropriate </w:t>
      </w:r>
      <w:r w:rsidRPr="00557C26" w:rsidR="0017767A">
        <w:rPr>
          <w:sz w:val="21"/>
          <w:szCs w:val="21"/>
        </w:rPr>
        <w:t xml:space="preserve">target pension scheme, which usually also </w:t>
      </w:r>
      <w:r w:rsidRPr="00557C26" w:rsidR="006428BE">
        <w:rPr>
          <w:sz w:val="21"/>
          <w:szCs w:val="21"/>
        </w:rPr>
        <w:t xml:space="preserve">offers the prospect </w:t>
      </w:r>
      <w:r w:rsidRPr="00557C26" w:rsidR="0017767A">
        <w:rPr>
          <w:sz w:val="21"/>
          <w:szCs w:val="21"/>
        </w:rPr>
        <w:t xml:space="preserve">of a higher pension from the equalisation value </w:t>
      </w:r>
      <w:r w:rsidRPr="00557C26" w:rsidR="0017767A">
        <w:rPr>
          <w:sz w:val="21"/>
          <w:szCs w:val="21"/>
        </w:rPr>
        <w:t xml:space="preserve">than the pension to be equalised</w:t>
      </w:r>
    </w:p>
    <w:p w:rsidRPr="00557C26" w:rsidR="00C57B08" w:rsidP="00C57B08" w:rsidRDefault="00C57B08" w14:paraId="5AFF9FF9" w14:textId="1BA8FF5B">
      <w:pPr>
        <w:pStyle w:val="berschrift2"/>
      </w:pPr>
      <w:bookmarkStart w:name="_Toc187309154" w:id="8"/>
      <w:r w:rsidRPr="00557C26">
        <w:t xml:space="preserve">Private pension schemes</w:t>
      </w:r>
      <w:bookmarkEnd w:id="8"/>
    </w:p>
    <w:p w:rsidR="00CE7040" w:rsidP="007F6737" w:rsidRDefault="003838EB" w14:paraId="39CCCF98" w14:textId="137D18B6">
      <w:pPr>
        <w:numPr>
          <w:ilvl w:val="0"/>
          <w:numId w:val="0"/>
        </w:numPr>
        <w:ind w:start="397" w:hanging="397"/>
        <w:rPr>
          <w:sz w:val="21"/>
          <w:szCs w:val="21"/>
        </w:rPr>
      </w:pPr>
      <w:r w:rsidRPr="00557C26">
        <w:rPr>
          <w:rFonts w:cs="Arial"/>
          <w:sz w:val="21"/>
          <w:szCs w:val="21"/>
        </w:rPr>
        <w:t>&gt;</w:t>
      </w:r>
      <w:r w:rsidRPr="00557C26">
        <w:rPr>
          <w:sz w:val="21"/>
          <w:szCs w:val="21"/>
        </w:rPr>
        <w:tab/>
      </w:r>
      <w:r w:rsidRPr="00557C26" w:rsidR="00611EB1">
        <w:rPr>
          <w:b/>
          <w:sz w:val="21"/>
          <w:szCs w:val="21"/>
        </w:rPr>
        <w:t xml:space="preserve">Private pension schemes </w:t>
      </w:r>
      <w:r w:rsidRPr="00557C26" w:rsidR="00611EB1">
        <w:rPr>
          <w:sz w:val="21"/>
          <w:szCs w:val="21"/>
        </w:rPr>
        <w:t xml:space="preserve">are generally divided "internally" </w:t>
      </w:r>
      <w:r w:rsidR="00A96B43">
        <w:rPr>
          <w:sz w:val="21"/>
          <w:szCs w:val="21"/>
        </w:rPr>
        <w:t xml:space="preserve">if the equalisation value exceeds the limits of €70.70 or €8,484. </w:t>
      </w:r>
      <w:r w:rsidRPr="00557C26" w:rsidR="00611EB1">
        <w:rPr>
          <w:sz w:val="21"/>
          <w:szCs w:val="21"/>
        </w:rPr>
        <w:t xml:space="preserve">However, some insurance companies try to circumvent this by </w:t>
      </w:r>
      <w:r w:rsidRPr="00557C26" w:rsidR="007F6737">
        <w:rPr>
          <w:sz w:val="21"/>
          <w:szCs w:val="21"/>
        </w:rPr>
        <w:t xml:space="preserve">offering the person entitled to equalisation </w:t>
      </w:r>
      <w:r w:rsidRPr="00557C26" w:rsidR="007F6737">
        <w:rPr>
          <w:sz w:val="21"/>
          <w:szCs w:val="21"/>
        </w:rPr>
        <w:t xml:space="preserve">- </w:t>
      </w:r>
      <w:r w:rsidRPr="00557C26" w:rsidR="00F77D30">
        <w:rPr>
          <w:sz w:val="21"/>
          <w:szCs w:val="21"/>
        </w:rPr>
        <w:t xml:space="preserve">possibly </w:t>
      </w:r>
      <w:r w:rsidRPr="00557C26" w:rsidR="007F6737">
        <w:rPr>
          <w:sz w:val="21"/>
          <w:szCs w:val="21"/>
        </w:rPr>
        <w:t xml:space="preserve">bypassing </w:t>
      </w:r>
      <w:r w:rsidRPr="00557C26" w:rsidR="00F77D30">
        <w:rPr>
          <w:sz w:val="21"/>
          <w:szCs w:val="21"/>
        </w:rPr>
        <w:t xml:space="preserve">the authorised representative </w:t>
      </w:r>
      <w:r w:rsidRPr="00557C26" w:rsidR="007F6737">
        <w:rPr>
          <w:sz w:val="21"/>
          <w:szCs w:val="21"/>
        </w:rPr>
        <w:t xml:space="preserve">- to take out a new insurance contract, which then of course has worse conditions than the insurance contract to be divided. Please do not fall for this trick, but inform your legal representative.</w:t>
      </w:r>
    </w:p>
    <w:p w:rsidRPr="00557C26" w:rsidR="00C57B08" w:rsidP="00C57B08" w:rsidRDefault="00C57B08" w14:paraId="433AB5D7" w14:textId="3E5ECC47">
      <w:pPr>
        <w:pStyle w:val="berschrift2"/>
      </w:pPr>
      <w:bookmarkStart w:name="_Toc187309155" w:id="9"/>
      <w:r w:rsidRPr="00557C26">
        <w:t xml:space="preserve">Foreign and supranational pension schemes</w:t>
      </w:r>
      <w:bookmarkEnd w:id="9"/>
    </w:p>
    <w:p w:rsidRPr="00557C26" w:rsidR="007F6737" w:rsidP="007F6737" w:rsidRDefault="003838EB" w14:paraId="0144D82F" w14:textId="0B02E957">
      <w:pPr>
        <w:numPr>
          <w:ilvl w:val="0"/>
          <w:numId w:val="0"/>
        </w:numPr>
        <w:ind w:start="397" w:hanging="397"/>
        <w:rPr>
          <w:sz w:val="21"/>
          <w:szCs w:val="21"/>
        </w:rPr>
      </w:pPr>
      <w:r w:rsidRPr="00557C26">
        <w:rPr>
          <w:rFonts w:cs="Arial"/>
          <w:sz w:val="21"/>
          <w:szCs w:val="21"/>
        </w:rPr>
        <w:t>&gt;</w:t>
      </w:r>
      <w:r w:rsidRPr="00557C26">
        <w:rPr>
          <w:sz w:val="21"/>
          <w:szCs w:val="21"/>
        </w:rPr>
        <w:tab/>
      </w:r>
      <w:r w:rsidRPr="00557C26" w:rsidR="00EB042B">
        <w:rPr>
          <w:b/>
          <w:sz w:val="21"/>
          <w:szCs w:val="21"/>
        </w:rPr>
        <w:t xml:space="preserve">Foreign and supranational pensions </w:t>
      </w:r>
      <w:r w:rsidRPr="00557C26" w:rsidR="00EB042B">
        <w:rPr>
          <w:sz w:val="21"/>
          <w:szCs w:val="21"/>
        </w:rPr>
        <w:t xml:space="preserve">are not subject to German jurisdiction</w:t>
      </w:r>
      <w:r w:rsidRPr="00557C26" w:rsidR="00F77D30">
        <w:rPr>
          <w:sz w:val="21"/>
          <w:szCs w:val="21"/>
        </w:rPr>
        <w:t xml:space="preserve">. </w:t>
      </w:r>
      <w:r w:rsidRPr="00557C26" w:rsidR="00F77D30">
        <w:rPr>
          <w:sz w:val="21"/>
          <w:szCs w:val="21"/>
        </w:rPr>
        <w:t xml:space="preserve">In this case, </w:t>
      </w:r>
      <w:r w:rsidRPr="00557C26" w:rsidR="00EB042B">
        <w:rPr>
          <w:sz w:val="21"/>
          <w:szCs w:val="21"/>
        </w:rPr>
        <w:t xml:space="preserve">a German court </w:t>
      </w:r>
      <w:r w:rsidRPr="00557C26" w:rsidR="00EB042B">
        <w:rPr>
          <w:sz w:val="21"/>
          <w:szCs w:val="21"/>
        </w:rPr>
        <w:t xml:space="preserve">cannot divide </w:t>
      </w:r>
      <w:r w:rsidRPr="00557C26" w:rsidR="00F77D30">
        <w:rPr>
          <w:sz w:val="21"/>
          <w:szCs w:val="21"/>
        </w:rPr>
        <w:t xml:space="preserve">such </w:t>
      </w:r>
      <w:r w:rsidRPr="00557C26" w:rsidR="00EB042B">
        <w:rPr>
          <w:sz w:val="21"/>
          <w:szCs w:val="21"/>
        </w:rPr>
        <w:t xml:space="preserve">pensions, but can only </w:t>
      </w:r>
      <w:r w:rsidRPr="00557C26" w:rsidR="00EB042B">
        <w:rPr>
          <w:sz w:val="21"/>
          <w:szCs w:val="21"/>
        </w:rPr>
        <w:t xml:space="preserve">order </w:t>
      </w:r>
      <w:r w:rsidRPr="00557C26" w:rsidR="00EB042B">
        <w:rPr>
          <w:sz w:val="21"/>
          <w:szCs w:val="21"/>
        </w:rPr>
        <w:t xml:space="preserve">the so-called "pension equalisation after divorce" and thus the </w:t>
      </w:r>
      <w:r w:rsidR="00A96B43">
        <w:rPr>
          <w:sz w:val="21"/>
          <w:szCs w:val="21"/>
        </w:rPr>
        <w:t xml:space="preserve">"</w:t>
      </w:r>
      <w:r w:rsidRPr="00557C26" w:rsidR="00EB042B">
        <w:rPr>
          <w:sz w:val="21"/>
          <w:szCs w:val="21"/>
        </w:rPr>
        <w:t xml:space="preserve">pension equalisation under the law of obligations</w:t>
      </w:r>
      <w:r w:rsidR="00A96B43">
        <w:rPr>
          <w:sz w:val="21"/>
          <w:szCs w:val="21"/>
        </w:rPr>
        <w:t xml:space="preserve">"</w:t>
      </w:r>
      <w:r w:rsidRPr="00557C26" w:rsidR="00EB042B">
        <w:rPr>
          <w:sz w:val="21"/>
          <w:szCs w:val="21"/>
        </w:rPr>
        <w:t xml:space="preserve">, which is not carried out by the pension providers but by payment by the pension recipient to the spouse</w:t>
      </w:r>
      <w:r w:rsidRPr="00557C26" w:rsidR="007F6737">
        <w:rPr>
          <w:sz w:val="21"/>
          <w:szCs w:val="21"/>
        </w:rPr>
        <w:t xml:space="preserve">. Ask your legal representative to explain this to you. Such entitlements can also be settled or offset so that the entire procedure is concluded once and for all with the divorce.</w:t>
      </w:r>
    </w:p>
    <w:p w:rsidRPr="00557C26" w:rsidR="00F13E76" w:rsidP="003C6EFE" w:rsidRDefault="003C6EFE" w14:paraId="58BFDFA3" w14:textId="73C9FC84">
      <w:pPr>
        <w:pStyle w:val="berschrift1"/>
      </w:pPr>
      <w:bookmarkStart w:name="_Toc187309156" w:id="10"/>
      <w:r>
        <w:t xml:space="preserve">Concluding </w:t>
      </w:r>
      <w:r w:rsidRPr="00557C26" w:rsidR="00C16DA2">
        <w:t xml:space="preserve">general notes</w:t>
      </w:r>
      <w:bookmarkEnd w:id="10"/>
    </w:p>
    <w:p w:rsidR="00AF1A68" w:rsidRDefault="00AF1A68" w14:paraId="566FD84A" w14:textId="031F1CCA">
      <w:pPr>
        <w:pStyle w:val="Listenabsatz"/>
        <w:numPr>
          <w:ilvl w:val="0"/>
          <w:numId w:val="3"/>
        </w:numPr>
        <w:ind w:start="284" w:hanging="284"/>
        <w:rPr>
          <w:sz w:val="21"/>
          <w:szCs w:val="21"/>
        </w:rPr>
      </w:pPr>
      <w:r>
        <w:rPr>
          <w:sz w:val="21"/>
          <w:szCs w:val="21"/>
        </w:rPr>
        <w:t xml:space="preserve">After the spouses have completed the questionnaires on pension equalisation, the pension providers will provide information on the pension acquisition during the marriage. You should check the accuracy of this information (period of employment, earnings, etc.) upon receipt.</w:t>
      </w:r>
    </w:p>
    <w:p w:rsidR="004B0DC2" w:rsidP="00557C26" w:rsidRDefault="004B0DC2" w14:paraId="5BA02216" w14:textId="77777777">
      <w:pPr>
        <w:pStyle w:val="Listenabsatz"/>
        <w:numPr>
          <w:ilvl w:val="0"/>
          <w:numId w:val="0"/>
        </w:numPr>
        <w:ind w:start="284"/>
        <w:rPr>
          <w:sz w:val="21"/>
          <w:szCs w:val="21"/>
        </w:rPr>
      </w:pPr>
    </w:p>
    <w:p w:rsidRPr="00557C26" w:rsidR="00CB5D7B" w:rsidP="00557C26" w:rsidRDefault="00CB5D7B" w14:paraId="53F35E82" w14:textId="634FFA94">
      <w:pPr>
        <w:pStyle w:val="Listenabsatz"/>
        <w:numPr>
          <w:ilvl w:val="0"/>
          <w:numId w:val="3"/>
        </w:numPr>
        <w:ind w:start="284" w:hanging="284"/>
        <w:rPr>
          <w:sz w:val="21"/>
          <w:szCs w:val="21"/>
        </w:rPr>
      </w:pPr>
      <w:r w:rsidRPr="00557C26">
        <w:rPr>
          <w:b/>
          <w:sz w:val="21"/>
          <w:szCs w:val="21"/>
        </w:rPr>
        <w:t xml:space="preserve">Pension values </w:t>
      </w:r>
      <w:r w:rsidRPr="00557C26">
        <w:rPr>
          <w:sz w:val="21"/>
          <w:szCs w:val="21"/>
        </w:rPr>
        <w:t xml:space="preserve">provided by the pension providers in the pension information </w:t>
      </w:r>
      <w:r w:rsidRPr="00557C26" w:rsidR="00C16DA2">
        <w:rPr>
          <w:sz w:val="21"/>
          <w:szCs w:val="21"/>
        </w:rPr>
        <w:t xml:space="preserve">are </w:t>
      </w:r>
      <w:r w:rsidRPr="00557C26" w:rsidR="00EC7610">
        <w:rPr>
          <w:b/>
          <w:sz w:val="21"/>
          <w:szCs w:val="21"/>
        </w:rPr>
        <w:t xml:space="preserve">generally not </w:t>
      </w:r>
      <w:r w:rsidRPr="00557C26">
        <w:rPr>
          <w:b/>
          <w:sz w:val="21"/>
          <w:szCs w:val="21"/>
        </w:rPr>
        <w:t xml:space="preserve">comparable with each other </w:t>
      </w:r>
      <w:r w:rsidRPr="00557C26">
        <w:rPr>
          <w:sz w:val="21"/>
          <w:szCs w:val="21"/>
        </w:rPr>
        <w:t xml:space="preserve">(exception: civil servants' pensions and statutory pension insurance). A pension is only worth as much as you can live on it in old age. </w:t>
      </w:r>
      <w:r w:rsidRPr="00557C26">
        <w:rPr>
          <w:b/>
          <w:sz w:val="21"/>
          <w:szCs w:val="21"/>
        </w:rPr>
        <w:t xml:space="preserve">The dynamics of a pension are a key </w:t>
      </w:r>
      <w:r w:rsidRPr="00557C26">
        <w:rPr>
          <w:b/>
          <w:sz w:val="21"/>
          <w:szCs w:val="21"/>
        </w:rPr>
        <w:t xml:space="preserve">factor determining its value</w:t>
      </w:r>
      <w:r w:rsidRPr="00557C26">
        <w:rPr>
          <w:sz w:val="21"/>
          <w:szCs w:val="21"/>
        </w:rPr>
        <w:t xml:space="preserve">. </w:t>
      </w:r>
      <w:r w:rsidRPr="00557C26">
        <w:rPr>
          <w:sz w:val="21"/>
          <w:szCs w:val="21"/>
        </w:rPr>
        <w:t xml:space="preserve">Therefore, any comparison on a pension basis is out of the question if the dynamics of the pensions </w:t>
      </w:r>
      <w:r w:rsidRPr="00557C26" w:rsidR="00C9453F">
        <w:rPr>
          <w:sz w:val="21"/>
          <w:szCs w:val="21"/>
        </w:rPr>
        <w:t xml:space="preserve">are - as is almost always the case - </w:t>
      </w:r>
      <w:r w:rsidRPr="00557C26">
        <w:rPr>
          <w:sz w:val="21"/>
          <w:szCs w:val="21"/>
        </w:rPr>
        <w:t xml:space="preserve">different.</w:t>
      </w:r>
    </w:p>
    <w:p w:rsidRPr="00557C26" w:rsidR="00CB5D7B" w:rsidP="00557C26" w:rsidRDefault="00CB5D7B" w14:paraId="7D0EF403" w14:textId="0E4CFDB9">
      <w:pPr>
        <w:pStyle w:val="Listenabsatz"/>
        <w:numPr>
          <w:ilvl w:val="0"/>
          <w:numId w:val="3"/>
        </w:numPr>
        <w:ind w:start="284" w:hanging="284"/>
        <w:rPr>
          <w:sz w:val="21"/>
          <w:szCs w:val="21"/>
        </w:rPr>
      </w:pPr>
      <w:r w:rsidRPr="00557C26">
        <w:rPr>
          <w:sz w:val="21"/>
          <w:szCs w:val="21"/>
        </w:rPr>
        <w:lastRenderedPageBreak/>
      </w:r>
      <w:r w:rsidRPr="00557C26">
        <w:rPr>
          <w:sz w:val="21"/>
          <w:szCs w:val="21"/>
        </w:rPr>
        <w:t xml:space="preserve">The </w:t>
      </w:r>
      <w:r w:rsidRPr="00557C26">
        <w:rPr>
          <w:b/>
          <w:sz w:val="21"/>
          <w:szCs w:val="21"/>
        </w:rPr>
        <w:t xml:space="preserve">capital values </w:t>
      </w:r>
      <w:r w:rsidRPr="00557C26">
        <w:rPr>
          <w:sz w:val="21"/>
          <w:szCs w:val="21"/>
        </w:rPr>
        <w:t xml:space="preserve">of the pensions </w:t>
      </w:r>
      <w:r w:rsidRPr="00557C26">
        <w:rPr>
          <w:sz w:val="21"/>
          <w:szCs w:val="21"/>
        </w:rPr>
        <w:t xml:space="preserve">reported by the pension providers </w:t>
      </w:r>
      <w:r w:rsidRPr="00557C26">
        <w:rPr>
          <w:sz w:val="21"/>
          <w:szCs w:val="21"/>
        </w:rPr>
        <w:t xml:space="preserve">are </w:t>
      </w:r>
      <w:r w:rsidRPr="00557C26">
        <w:rPr>
          <w:sz w:val="21"/>
          <w:szCs w:val="21"/>
        </w:rPr>
        <w:t xml:space="preserve">also </w:t>
      </w:r>
      <w:r w:rsidRPr="00557C26">
        <w:rPr>
          <w:sz w:val="21"/>
          <w:szCs w:val="21"/>
        </w:rPr>
        <w:t xml:space="preserve">only comparable if they have been calculated according to truly standardised criteria </w:t>
      </w:r>
      <w:r w:rsidRPr="00557C26" w:rsidR="00C16DA2">
        <w:rPr>
          <w:sz w:val="21"/>
          <w:szCs w:val="21"/>
        </w:rPr>
        <w:t xml:space="preserve">- </w:t>
      </w:r>
      <w:r w:rsidRPr="00557C26">
        <w:rPr>
          <w:sz w:val="21"/>
          <w:szCs w:val="21"/>
        </w:rPr>
        <w:t xml:space="preserve">which is almost never the case.</w:t>
      </w:r>
    </w:p>
    <w:p w:rsidRPr="00557C26" w:rsidR="00CB5D7B" w:rsidP="00557C26" w:rsidRDefault="00CB5D7B" w14:paraId="41B4253B" w14:textId="77777777">
      <w:pPr>
        <w:pStyle w:val="Listenabsatz"/>
        <w:numPr>
          <w:ilvl w:val="0"/>
          <w:numId w:val="0"/>
        </w:numPr>
        <w:ind w:start="284" w:hanging="284"/>
        <w:rPr>
          <w:sz w:val="21"/>
          <w:szCs w:val="21"/>
        </w:rPr>
      </w:pPr>
    </w:p>
    <w:p w:rsidRPr="00557C26" w:rsidR="00CB5D7B" w:rsidP="00557C26" w:rsidRDefault="00CB5D7B" w14:paraId="370511F0" w14:textId="3AAE62A5">
      <w:pPr>
        <w:pStyle w:val="Listenabsatz"/>
        <w:numPr>
          <w:ilvl w:val="0"/>
          <w:numId w:val="3"/>
        </w:numPr>
        <w:ind w:start="284" w:hanging="284"/>
        <w:rPr>
          <w:sz w:val="21"/>
          <w:szCs w:val="21"/>
        </w:rPr>
      </w:pPr>
      <w:r w:rsidRPr="00557C26">
        <w:rPr>
          <w:sz w:val="21"/>
          <w:szCs w:val="21"/>
        </w:rPr>
        <w:t xml:space="preserve">Finally, it should be borne in mind that </w:t>
      </w:r>
      <w:r w:rsidRPr="00557C26">
        <w:rPr>
          <w:b/>
          <w:sz w:val="21"/>
          <w:szCs w:val="21"/>
        </w:rPr>
        <w:t xml:space="preserve">pensions </w:t>
      </w:r>
      <w:r w:rsidRPr="00557C26">
        <w:rPr>
          <w:sz w:val="21"/>
          <w:szCs w:val="21"/>
        </w:rPr>
        <w:t xml:space="preserve">from different sources </w:t>
      </w:r>
      <w:r w:rsidRPr="00557C26" w:rsidR="00C16DA2">
        <w:rPr>
          <w:sz w:val="21"/>
          <w:szCs w:val="21"/>
        </w:rPr>
        <w:t xml:space="preserve">may be </w:t>
      </w:r>
      <w:r w:rsidRPr="00557C26">
        <w:rPr>
          <w:b/>
          <w:sz w:val="21"/>
          <w:szCs w:val="21"/>
        </w:rPr>
        <w:t xml:space="preserve">subject to different tax and social security contributions</w:t>
      </w:r>
      <w:r w:rsidRPr="00557C26">
        <w:rPr>
          <w:sz w:val="21"/>
          <w:szCs w:val="21"/>
        </w:rPr>
        <w:t xml:space="preserve">.</w:t>
      </w:r>
    </w:p>
    <w:p w:rsidRPr="00557C26" w:rsidR="008A1F03" w:rsidP="00557C26" w:rsidRDefault="00CB5D7B" w14:paraId="5B6DF7AB" w14:textId="3C54D319">
      <w:pPr>
        <w:pStyle w:val="Listenabsatz"/>
        <w:numPr>
          <w:ilvl w:val="0"/>
          <w:numId w:val="3"/>
        </w:numPr>
        <w:ind w:start="284" w:hanging="284"/>
        <w:rPr>
          <w:sz w:val="21"/>
          <w:szCs w:val="21"/>
        </w:rPr>
      </w:pPr>
      <w:r w:rsidRPr="00557C26">
        <w:rPr>
          <w:sz w:val="21"/>
          <w:szCs w:val="21"/>
        </w:rPr>
        <w:t xml:space="preserve">If you are </w:t>
      </w:r>
      <w:r w:rsidRPr="00557C26" w:rsidR="00C16DA2">
        <w:rPr>
          <w:sz w:val="21"/>
          <w:szCs w:val="21"/>
        </w:rPr>
        <w:t xml:space="preserve">considering an agreement solution in accordance with §§ 6 - 8 VersAusglG and, for example, </w:t>
      </w:r>
      <w:r w:rsidRPr="00557C26">
        <w:rPr>
          <w:sz w:val="21"/>
          <w:szCs w:val="21"/>
        </w:rPr>
        <w:t xml:space="preserve">come up with the idea of exchanging a </w:t>
      </w:r>
      <w:r w:rsidRPr="00557C26">
        <w:rPr>
          <w:b/>
          <w:sz w:val="21"/>
          <w:szCs w:val="21"/>
        </w:rPr>
        <w:t xml:space="preserve">house for a pension </w:t>
      </w:r>
      <w:r w:rsidRPr="00557C26">
        <w:rPr>
          <w:sz w:val="21"/>
          <w:szCs w:val="21"/>
        </w:rPr>
        <w:t xml:space="preserve">by transferring your half of the house to the other spouse and in return the other spouse </w:t>
      </w:r>
      <w:r w:rsidRPr="00557C26">
        <w:rPr>
          <w:sz w:val="21"/>
          <w:szCs w:val="21"/>
        </w:rPr>
        <w:t xml:space="preserve">waives </w:t>
      </w:r>
      <w:r w:rsidRPr="00557C26" w:rsidR="00EC7610">
        <w:rPr>
          <w:sz w:val="21"/>
          <w:szCs w:val="21"/>
        </w:rPr>
        <w:t xml:space="preserve">part or all of </w:t>
      </w:r>
      <w:r w:rsidRPr="00557C26">
        <w:rPr>
          <w:sz w:val="21"/>
          <w:szCs w:val="21"/>
        </w:rPr>
        <w:t xml:space="preserve">the equalisation of one of your pensions</w:t>
      </w:r>
      <w:r w:rsidRPr="00557C26" w:rsidR="00C16DA2">
        <w:rPr>
          <w:sz w:val="21"/>
          <w:szCs w:val="21"/>
        </w:rPr>
        <w:t xml:space="preserve">. </w:t>
      </w:r>
      <w:r w:rsidRPr="00557C26" w:rsidR="00C16DA2">
        <w:rPr>
          <w:sz w:val="21"/>
          <w:szCs w:val="21"/>
        </w:rPr>
        <w:t xml:space="preserve">In this case, </w:t>
      </w:r>
      <w:r w:rsidRPr="00557C26" w:rsidR="003838EB">
        <w:rPr>
          <w:sz w:val="21"/>
          <w:szCs w:val="21"/>
        </w:rPr>
        <w:t xml:space="preserve">please </w:t>
      </w:r>
      <w:r w:rsidRPr="00557C26">
        <w:rPr>
          <w:sz w:val="21"/>
          <w:szCs w:val="21"/>
        </w:rPr>
        <w:t xml:space="preserve">bear in mind </w:t>
      </w:r>
      <w:r w:rsidRPr="00557C26">
        <w:rPr>
          <w:sz w:val="21"/>
          <w:szCs w:val="21"/>
        </w:rPr>
        <w:t xml:space="preserve">that the transfer of your share of the house is tax and duty-free, but your pension will be paid out in old age subject to tax. If you make an agreement </w:t>
      </w:r>
      <w:r w:rsidRPr="00557C26" w:rsidR="003838EB">
        <w:rPr>
          <w:sz w:val="21"/>
          <w:szCs w:val="21"/>
        </w:rPr>
        <w:t xml:space="preserve">that offsets pension entitlements against each other or against assets, </w:t>
      </w:r>
      <w:r w:rsidRPr="00557C26" w:rsidR="00EC7610">
        <w:rPr>
          <w:sz w:val="21"/>
          <w:szCs w:val="21"/>
        </w:rPr>
        <w:t xml:space="preserve">seek expert </w:t>
      </w:r>
      <w:r w:rsidRPr="00557C26" w:rsidR="003838EB">
        <w:rPr>
          <w:sz w:val="21"/>
          <w:szCs w:val="21"/>
        </w:rPr>
        <w:t xml:space="preserve">advice</w:t>
      </w:r>
      <w:r w:rsidRPr="00557C26" w:rsidR="00EC7610">
        <w:rPr>
          <w:sz w:val="21"/>
          <w:szCs w:val="21"/>
        </w:rPr>
        <w:t xml:space="preserve"> from a lawyer or pension consultant specialising in pension equalisation</w:t>
      </w:r>
      <w:r w:rsidRPr="00557C26">
        <w:rPr>
          <w:sz w:val="21"/>
          <w:szCs w:val="21"/>
        </w:rPr>
        <w:t xml:space="preserve">. </w:t>
      </w:r>
      <w:r w:rsidRPr="00557C26">
        <w:rPr>
          <w:b/>
          <w:sz w:val="21"/>
          <w:szCs w:val="21"/>
        </w:rPr>
        <w:t xml:space="preserve">Agreements are always good in family law. But only if they are good.</w:t>
      </w:r>
    </w:p>
    <w:p w:rsidRPr="00557C26" w:rsidR="00F13E76" w:rsidP="0035736A" w:rsidRDefault="00F13E76" w14:paraId="24C34AC4" w14:textId="77777777">
      <w:pPr>
        <w:numPr>
          <w:ilvl w:val="0"/>
          <w:numId w:val="0"/>
        </w:numPr>
        <w:rPr>
          <w:sz w:val="21"/>
          <w:szCs w:val="21"/>
        </w:rPr>
      </w:pPr>
    </w:p>
    <w:sectPr w:rsidRPr="00557C26" w:rsidR="00F13E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091E"/>
    <w:multiLevelType w:val="hybridMultilevel"/>
    <w:tmpl w:val="F2485C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D20ABA"/>
    <w:multiLevelType w:val="hybridMultilevel"/>
    <w:tmpl w:val="60D2EB68"/>
    <w:lvl w:ilvl="0" w:tplc="7CE83776">
      <w:start w:val="1"/>
      <w:numFmt w:val="lowerLetter"/>
      <w:pStyle w:val="berschrift2"/>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2" w15:restartNumberingAfterBreak="0">
    <w:nsid w:val="4FEF49FE"/>
    <w:multiLevelType w:val="hybridMultilevel"/>
    <w:tmpl w:val="CB76FA74"/>
    <w:lvl w:ilvl="0" w:tplc="4B126C6C">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64987635"/>
    <w:multiLevelType w:val="hybridMultilevel"/>
    <w:tmpl w:val="65527284"/>
    <w:lvl w:ilvl="0" w:tplc="B5728A08">
      <w:start w:val="1"/>
      <w:numFmt w:val="decimal"/>
      <w:pStyle w:val="berschrift1"/>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4" w15:restartNumberingAfterBreak="0">
    <w:nsid w:val="69506502"/>
    <w:multiLevelType w:val="hybridMultilevel"/>
    <w:tmpl w:val="B8CAA84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74B34325"/>
    <w:multiLevelType w:val="hybridMultilevel"/>
    <w:tmpl w:val="3C40D726"/>
    <w:lvl w:ilvl="0" w:tplc="A8DEE476">
      <w:start w:val="1"/>
      <w:numFmt w:val="decimal"/>
      <w:pStyle w:val="Standard"/>
      <w:lvlText w:val="%1."/>
      <w:lvlJc w:val="left"/>
      <w:pPr>
        <w:ind w:left="1494" w:hanging="360"/>
      </w:pPr>
      <w:rPr>
        <w:rFonts w:hint="default"/>
      </w:rPr>
    </w:lvl>
    <w:lvl w:ilvl="1" w:tplc="04070019">
      <w:start w:val="1"/>
      <w:numFmt w:val="lowerLetter"/>
      <w:lvlText w:val="%2."/>
      <w:lvlJc w:val="left"/>
      <w:pPr>
        <w:ind w:left="2496" w:hanging="360"/>
      </w:pPr>
    </w:lvl>
    <w:lvl w:ilvl="2" w:tplc="0407001B">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num w:numId="1" w16cid:durableId="632833681">
    <w:abstractNumId w:val="5"/>
  </w:num>
  <w:num w:numId="2" w16cid:durableId="42486635">
    <w:abstractNumId w:val="0"/>
  </w:num>
  <w:num w:numId="3" w16cid:durableId="1764913553">
    <w:abstractNumId w:val="4"/>
  </w:num>
  <w:num w:numId="4" w16cid:durableId="1122000437">
    <w:abstractNumId w:val="2"/>
  </w:num>
  <w:num w:numId="5" w16cid:durableId="1387756698">
    <w:abstractNumId w:val="3"/>
  </w:num>
  <w:num w:numId="6" w16cid:durableId="1305306372">
    <w:abstractNumId w:val="5"/>
  </w:num>
  <w:num w:numId="7" w16cid:durableId="509879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AD1A42F-AC0E-495D-AA95-345A13AA0350}"/>
    <w:docVar w:name="dgnword-eventsink" w:val="310676864"/>
  </w:docVars>
  <w:rsids>
    <w:rsidRoot w:val="006D5886"/>
    <w:rsid w:val="00012E71"/>
    <w:rsid w:val="00041847"/>
    <w:rsid w:val="000630C8"/>
    <w:rsid w:val="00091C57"/>
    <w:rsid w:val="000F3D93"/>
    <w:rsid w:val="00103672"/>
    <w:rsid w:val="0017767A"/>
    <w:rsid w:val="00191239"/>
    <w:rsid w:val="002257C2"/>
    <w:rsid w:val="00226907"/>
    <w:rsid w:val="002A04B3"/>
    <w:rsid w:val="002D1011"/>
    <w:rsid w:val="002F6DB4"/>
    <w:rsid w:val="00326CF4"/>
    <w:rsid w:val="0035736A"/>
    <w:rsid w:val="003838EB"/>
    <w:rsid w:val="003C0F6B"/>
    <w:rsid w:val="003C6EFE"/>
    <w:rsid w:val="003E3004"/>
    <w:rsid w:val="00403BBF"/>
    <w:rsid w:val="004649A9"/>
    <w:rsid w:val="0048270C"/>
    <w:rsid w:val="004B0DC2"/>
    <w:rsid w:val="004B1F00"/>
    <w:rsid w:val="005247EE"/>
    <w:rsid w:val="00527FDE"/>
    <w:rsid w:val="005353E6"/>
    <w:rsid w:val="00557C26"/>
    <w:rsid w:val="00593830"/>
    <w:rsid w:val="005D0BB1"/>
    <w:rsid w:val="00611EB1"/>
    <w:rsid w:val="006126F6"/>
    <w:rsid w:val="006428BE"/>
    <w:rsid w:val="006A74A2"/>
    <w:rsid w:val="006C691D"/>
    <w:rsid w:val="006D5886"/>
    <w:rsid w:val="00753F0E"/>
    <w:rsid w:val="007769CC"/>
    <w:rsid w:val="007C59DB"/>
    <w:rsid w:val="007F6737"/>
    <w:rsid w:val="00822EDB"/>
    <w:rsid w:val="00876F71"/>
    <w:rsid w:val="008A15CE"/>
    <w:rsid w:val="008A1F03"/>
    <w:rsid w:val="00935447"/>
    <w:rsid w:val="009650D4"/>
    <w:rsid w:val="0096797F"/>
    <w:rsid w:val="009A28A0"/>
    <w:rsid w:val="009B393C"/>
    <w:rsid w:val="00A05307"/>
    <w:rsid w:val="00A44AFA"/>
    <w:rsid w:val="00A873F9"/>
    <w:rsid w:val="00A96B43"/>
    <w:rsid w:val="00AD1BAC"/>
    <w:rsid w:val="00AF1A68"/>
    <w:rsid w:val="00BC48D7"/>
    <w:rsid w:val="00C16DA2"/>
    <w:rsid w:val="00C50915"/>
    <w:rsid w:val="00C57B08"/>
    <w:rsid w:val="00C9453F"/>
    <w:rsid w:val="00CB5D7B"/>
    <w:rsid w:val="00CE7040"/>
    <w:rsid w:val="00D32C04"/>
    <w:rsid w:val="00D34125"/>
    <w:rsid w:val="00D758E8"/>
    <w:rsid w:val="00D8062B"/>
    <w:rsid w:val="00DB569F"/>
    <w:rsid w:val="00DC4A49"/>
    <w:rsid w:val="00DE6431"/>
    <w:rsid w:val="00DF7DF8"/>
    <w:rsid w:val="00E36EEE"/>
    <w:rsid w:val="00E74A2F"/>
    <w:rsid w:val="00E96577"/>
    <w:rsid w:val="00EB042B"/>
    <w:rsid w:val="00EC7610"/>
    <w:rsid w:val="00ED5D1B"/>
    <w:rsid w:val="00EE7D30"/>
    <w:rsid w:val="00F13E76"/>
    <w:rsid w:val="00F1490B"/>
    <w:rsid w:val="00F526EA"/>
    <w:rsid w:val="00F6545C"/>
    <w:rsid w:val="00F77D30"/>
    <w:rsid w:val="00F96ECD"/>
    <w:rsid w:val="00FA2D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76633"/>
  <w15:chartTrackingRefBased/>
  <w15:docId w15:val="{A590294E-D040-4A75-A10A-B3EFFA21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F1490B"/>
    <w:pPr>
      <w:numPr>
        <w:numId w:val="1"/>
      </w:numPr>
      <w:spacing w:before="120" w:after="120" w:line="240" w:lineRule="auto"/>
      <w:jc w:val="both"/>
    </w:pPr>
    <w:rPr>
      <w:rFonts w:ascii="Arial" w:hAnsi="Arial"/>
      <w:sz w:val="20"/>
    </w:rPr>
  </w:style>
  <w:style w:type="paragraph" w:styleId="berschrift1">
    <w:name w:val="heading 1"/>
    <w:basedOn w:val="Standard"/>
    <w:next w:val="Standard"/>
    <w:link w:val="berschrift1Zchn"/>
    <w:autoRedefine/>
    <w:uiPriority w:val="9"/>
    <w:qFormat/>
    <w:rsid w:val="003C6EFE"/>
    <w:pPr>
      <w:keepNext/>
      <w:keepLines/>
      <w:numPr>
        <w:numId w:val="5"/>
      </w:numPr>
      <w:spacing w:before="240" w:after="0"/>
      <w:outlineLvl w:val="0"/>
    </w:pPr>
    <w:rPr>
      <w:rFonts w:eastAsiaTheme="majorEastAsia" w:cs="Arial"/>
      <w:b/>
      <w:color w:val="2F5496" w:themeColor="accent1" w:themeShade="BF"/>
      <w:sz w:val="32"/>
      <w:szCs w:val="32"/>
    </w:rPr>
  </w:style>
  <w:style w:type="paragraph" w:styleId="berschrift2">
    <w:name w:val="heading 2"/>
    <w:basedOn w:val="Standard"/>
    <w:next w:val="Standard"/>
    <w:link w:val="berschrift2Zchn"/>
    <w:uiPriority w:val="9"/>
    <w:unhideWhenUsed/>
    <w:qFormat/>
    <w:rsid w:val="003C6EFE"/>
    <w:pPr>
      <w:keepNext/>
      <w:keepLines/>
      <w:numPr>
        <w:numId w:val="7"/>
      </w:numPr>
      <w:spacing w:before="40" w:after="0"/>
      <w:outlineLvl w:val="1"/>
    </w:pPr>
    <w:rPr>
      <w:rFonts w:eastAsiaTheme="majorEastAsia" w:cstheme="majorBidi"/>
      <w:b/>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13E76"/>
    <w:pPr>
      <w:ind w:left="720"/>
      <w:contextualSpacing/>
    </w:pPr>
  </w:style>
  <w:style w:type="paragraph" w:styleId="berarbeitung">
    <w:name w:val="Revision"/>
    <w:hidden/>
    <w:uiPriority w:val="99"/>
    <w:semiHidden/>
    <w:rsid w:val="002F6DB4"/>
    <w:pPr>
      <w:spacing w:after="0" w:line="240" w:lineRule="auto"/>
    </w:pPr>
    <w:rPr>
      <w:rFonts w:ascii="Arial" w:hAnsi="Arial"/>
      <w:sz w:val="20"/>
    </w:rPr>
  </w:style>
  <w:style w:type="paragraph" w:styleId="Sprechblasentext">
    <w:name w:val="Balloon Text"/>
    <w:basedOn w:val="Standard"/>
    <w:link w:val="SprechblasentextZchn"/>
    <w:uiPriority w:val="99"/>
    <w:semiHidden/>
    <w:unhideWhenUsed/>
    <w:rsid w:val="002257C2"/>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57C2"/>
    <w:rPr>
      <w:rFonts w:ascii="Segoe UI" w:hAnsi="Segoe UI" w:cs="Segoe UI"/>
      <w:sz w:val="18"/>
      <w:szCs w:val="18"/>
    </w:rPr>
  </w:style>
  <w:style w:type="character" w:customStyle="1" w:styleId="berschrift1Zchn">
    <w:name w:val="Überschrift 1 Zchn"/>
    <w:basedOn w:val="Absatz-Standardschriftart"/>
    <w:link w:val="berschrift1"/>
    <w:uiPriority w:val="9"/>
    <w:rsid w:val="003C6EFE"/>
    <w:rPr>
      <w:rFonts w:ascii="Arial" w:eastAsiaTheme="majorEastAsia" w:hAnsi="Arial" w:cs="Arial"/>
      <w:b/>
      <w:color w:val="2F5496" w:themeColor="accent1" w:themeShade="BF"/>
      <w:sz w:val="32"/>
      <w:szCs w:val="32"/>
    </w:rPr>
  </w:style>
  <w:style w:type="character" w:styleId="Hyperlink">
    <w:name w:val="Hyperlink"/>
    <w:basedOn w:val="Absatz-Standardschriftart"/>
    <w:uiPriority w:val="99"/>
    <w:unhideWhenUsed/>
    <w:rsid w:val="00557C26"/>
    <w:rPr>
      <w:color w:val="0563C1" w:themeColor="hyperlink"/>
      <w:u w:val="single"/>
    </w:rPr>
  </w:style>
  <w:style w:type="paragraph" w:styleId="KeinLeerraum">
    <w:name w:val="No Spacing"/>
    <w:uiPriority w:val="1"/>
    <w:qFormat/>
    <w:rsid w:val="00557C26"/>
    <w:pPr>
      <w:spacing w:after="0" w:line="240" w:lineRule="auto"/>
      <w:ind w:left="1494" w:hanging="360"/>
      <w:jc w:val="both"/>
    </w:pPr>
    <w:rPr>
      <w:rFonts w:ascii="Arial" w:hAnsi="Arial"/>
      <w:sz w:val="20"/>
    </w:rPr>
  </w:style>
  <w:style w:type="character" w:customStyle="1" w:styleId="berschrift2Zchn">
    <w:name w:val="Überschrift 2 Zchn"/>
    <w:basedOn w:val="Absatz-Standardschriftart"/>
    <w:link w:val="berschrift2"/>
    <w:uiPriority w:val="9"/>
    <w:rsid w:val="003C6EFE"/>
    <w:rPr>
      <w:rFonts w:ascii="Arial" w:eastAsiaTheme="majorEastAsia" w:hAnsi="Arial" w:cstheme="majorBidi"/>
      <w:b/>
      <w:color w:val="2F5496" w:themeColor="accent1" w:themeShade="BF"/>
      <w:sz w:val="26"/>
      <w:szCs w:val="26"/>
    </w:rPr>
  </w:style>
  <w:style w:type="paragraph" w:styleId="Inhaltsverzeichnisberschrift">
    <w:name w:val="TOC Heading"/>
    <w:basedOn w:val="berschrift1"/>
    <w:next w:val="Standard"/>
    <w:uiPriority w:val="39"/>
    <w:unhideWhenUsed/>
    <w:qFormat/>
    <w:rsid w:val="002A04B3"/>
    <w:pPr>
      <w:numPr>
        <w:numId w:val="0"/>
      </w:numPr>
      <w:spacing w:line="259" w:lineRule="auto"/>
      <w:jc w:val="left"/>
      <w:outlineLvl w:val="9"/>
    </w:pPr>
    <w:rPr>
      <w:rFonts w:asciiTheme="majorHAnsi" w:hAnsiTheme="majorHAnsi" w:cstheme="majorBidi"/>
      <w:b w:val="0"/>
      <w:lang w:eastAsia="de-DE"/>
    </w:rPr>
  </w:style>
  <w:style w:type="paragraph" w:styleId="Verzeichnis1">
    <w:name w:val="toc 1"/>
    <w:basedOn w:val="Standard"/>
    <w:next w:val="Standard"/>
    <w:autoRedefine/>
    <w:uiPriority w:val="39"/>
    <w:unhideWhenUsed/>
    <w:rsid w:val="002A04B3"/>
    <w:pPr>
      <w:spacing w:after="100"/>
      <w:ind w:left="0"/>
    </w:pPr>
  </w:style>
  <w:style w:type="paragraph" w:styleId="Verzeichnis2">
    <w:name w:val="toc 2"/>
    <w:basedOn w:val="Standard"/>
    <w:next w:val="Standard"/>
    <w:autoRedefine/>
    <w:uiPriority w:val="39"/>
    <w:unhideWhenUsed/>
    <w:rsid w:val="002A04B3"/>
    <w:pPr>
      <w:spacing w:after="100"/>
      <w:ind w:left="200"/>
    </w:pPr>
  </w:style>
  <w:style w:type="character" w:styleId="NichtaufgelsteErwhnung">
    <w:name w:val="Unresolved Mention"/>
    <w:basedOn w:val="Absatz-Standardschriftart"/>
    <w:uiPriority w:val="99"/>
    <w:semiHidden/>
    <w:unhideWhenUsed/>
    <w:rsid w:val="00C50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ntenberater.berlin/" TargetMode="External"/><Relationship Id="rId3" Type="http://schemas.openxmlformats.org/officeDocument/2006/relationships/styles" Target="styles.xml"/><Relationship Id="rId7" Type="http://schemas.openxmlformats.org/officeDocument/2006/relationships/hyperlink" Target="http://www.anwaelte-du.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uss@anwaelte-du.d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B85D1-4EA1-4A68-8CA3-BF49AB947DB2}">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4</ap:Pages>
  <ap:Words>1495</ap:Words>
  <ap:Characters>9423</ap:Characters>
  <ap:Application>Microsoft Office Word</ap:Application>
  <ap:DocSecurity>0</ap:DocSecurity>
  <ap:Lines>78</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Company/>
  <ap:LinksUpToDate>false</ap:LinksUpToDate>
  <ap:CharactersWithSpaces>10897</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Hauß</dc:creator>
  <keywords>, docId:C6460C7CE87B6102C8F5D80608D58368</keywords>
  <dc:description/>
  <lastModifiedBy>Joern Hauss</lastModifiedBy>
  <revision>2</revision>
  <lastPrinted>2024-06-05T16:57:00.0000000Z</lastPrinted>
  <dcterms:created xsi:type="dcterms:W3CDTF">2025-01-09T09:34:00.0000000Z</dcterms:created>
  <dcterms:modified xsi:type="dcterms:W3CDTF">2025-01-09T09:34:00.0000000Z</dcterms:modified>
</coreProperties>
</file>